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90866BC" w:rsidR="0047408E" w:rsidRDefault="0083044F" w:rsidP="00D00B9F">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3GPP TSG-RAN WG2 Meeting #115</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AE69FE">
        <w:rPr>
          <w:rFonts w:ascii="Times New Roman" w:hAnsi="Times New Roman"/>
          <w:bCs/>
          <w:sz w:val="24"/>
          <w:szCs w:val="24"/>
          <w:lang w:eastAsia="ja-JP"/>
        </w:rPr>
        <w:t>R2-</w:t>
      </w:r>
      <w:r w:rsidR="00F77E02" w:rsidRPr="00F77E02">
        <w:rPr>
          <w:rFonts w:ascii="Times New Roman" w:hAnsi="Times New Roman"/>
          <w:bCs/>
          <w:sz w:val="24"/>
          <w:szCs w:val="24"/>
          <w:lang w:eastAsia="ja-JP"/>
        </w:rPr>
        <w:t>2108230</w:t>
      </w:r>
    </w:p>
    <w:p w14:paraId="327D608B" w14:textId="4E25A517" w:rsidR="00AE69FE" w:rsidRPr="00D46A4D" w:rsidRDefault="00AE69FE" w:rsidP="00AE69FE">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Pr>
          <w:rFonts w:ascii="Times New Roman" w:hAnsi="Times New Roman"/>
          <w:bCs/>
          <w:sz w:val="24"/>
          <w:szCs w:val="24"/>
          <w:lang w:eastAsia="ja-JP"/>
        </w:rPr>
        <w:t>August 9</w:t>
      </w:r>
      <w:r w:rsidRPr="00FA48D2">
        <w:rPr>
          <w:rFonts w:ascii="Times New Roman" w:hAnsi="Times New Roman"/>
          <w:bCs/>
          <w:sz w:val="24"/>
          <w:szCs w:val="24"/>
          <w:lang w:eastAsia="ja-JP"/>
        </w:rPr>
        <w:t xml:space="preserve"> –</w:t>
      </w:r>
      <w:r>
        <w:rPr>
          <w:rFonts w:ascii="Times New Roman" w:hAnsi="Times New Roman"/>
          <w:bCs/>
          <w:sz w:val="24"/>
          <w:szCs w:val="24"/>
          <w:lang w:eastAsia="ja-JP"/>
        </w:rPr>
        <w:t xml:space="preserve"> 27</w:t>
      </w:r>
      <w:r w:rsidRPr="00FA48D2">
        <w:rPr>
          <w:rFonts w:ascii="Times New Roman" w:hAnsi="Times New Roman"/>
          <w:bCs/>
          <w:sz w:val="24"/>
          <w:szCs w:val="24"/>
          <w:lang w:eastAsia="ja-JP"/>
        </w:rPr>
        <w:t>, 2021</w:t>
      </w:r>
      <w:r w:rsidR="00254C51">
        <w:rPr>
          <w:rFonts w:ascii="Times New Roman" w:hAnsi="Times New Roman"/>
          <w:bCs/>
          <w:sz w:val="24"/>
          <w:szCs w:val="24"/>
          <w:lang w:eastAsia="ja-JP"/>
        </w:rPr>
        <w:tab/>
        <w:t xml:space="preserve">(Revision of </w:t>
      </w:r>
      <w:r w:rsidR="00254C51" w:rsidRPr="000E7814">
        <w:rPr>
          <w:rFonts w:ascii="Times New Roman" w:hAnsi="Times New Roman"/>
          <w:bCs/>
          <w:sz w:val="24"/>
          <w:szCs w:val="24"/>
          <w:lang w:eastAsia="ja-JP"/>
        </w:rPr>
        <w:t>R2-2105671</w:t>
      </w:r>
      <w:r w:rsidR="00254C51">
        <w:rPr>
          <w:rFonts w:ascii="Times New Roman" w:hAnsi="Times New Roman"/>
          <w:bCs/>
          <w:sz w:val="24"/>
          <w:szCs w:val="24"/>
          <w:lang w:eastAsia="ja-JP"/>
        </w:rPr>
        <w:t>)</w:t>
      </w:r>
    </w:p>
    <w:p w14:paraId="5DE0EDD6" w14:textId="01D44AC0" w:rsidR="0047408E" w:rsidRPr="00AE69FE" w:rsidRDefault="00B55AED" w:rsidP="00AE69FE">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D46A4D">
        <w:rPr>
          <w:rFonts w:ascii="Times New Roman" w:hAnsi="Times New Roman"/>
          <w:bCs/>
          <w:sz w:val="24"/>
          <w:szCs w:val="24"/>
          <w:lang w:eastAsia="ja-JP"/>
        </w:rPr>
        <w:tab/>
      </w:r>
    </w:p>
    <w:p w14:paraId="19110ACE" w14:textId="6F74209D"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121A6C" w:rsidRPr="00183BCE">
        <w:rPr>
          <w:rFonts w:ascii="Times New Roman" w:hAnsi="Times New Roman"/>
          <w:b/>
          <w:noProof/>
          <w:sz w:val="24"/>
        </w:rPr>
        <w:t>8.12</w:t>
      </w:r>
      <w:r w:rsidR="00183BCE" w:rsidRPr="00183BCE">
        <w:rPr>
          <w:rFonts w:ascii="Times New Roman" w:hAnsi="Times New Roman"/>
          <w:b/>
          <w:noProof/>
          <w:sz w:val="24"/>
        </w:rPr>
        <w:t>.3.1</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30352E01"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FC1E61">
        <w:rPr>
          <w:rFonts w:ascii="Times New Roman" w:hAnsi="Times New Roman"/>
          <w:b/>
          <w:noProof/>
          <w:sz w:val="24"/>
        </w:rPr>
        <w:t xml:space="preserve">Remaining </w:t>
      </w:r>
      <w:r w:rsidR="00AE083A">
        <w:rPr>
          <w:rFonts w:ascii="Times New Roman" w:hAnsi="Times New Roman"/>
          <w:b/>
          <w:noProof/>
          <w:sz w:val="24"/>
        </w:rPr>
        <w:t>issues</w:t>
      </w:r>
      <w:r w:rsidR="006823B1">
        <w:rPr>
          <w:rFonts w:ascii="Times New Roman" w:hAnsi="Times New Roman"/>
          <w:b/>
          <w:noProof/>
          <w:sz w:val="24"/>
        </w:rPr>
        <w:t xml:space="preserve"> </w:t>
      </w:r>
      <w:r w:rsidR="0052116F">
        <w:rPr>
          <w:rFonts w:ascii="Times New Roman" w:hAnsi="Times New Roman"/>
          <w:b/>
          <w:noProof/>
          <w:sz w:val="24"/>
        </w:rPr>
        <w:t>for eDRX</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4BBCDDE1" w14:textId="1F506FB1" w:rsidR="00A97BE5" w:rsidRPr="006E2309" w:rsidRDefault="0047408E" w:rsidP="00161FA7">
      <w:pPr>
        <w:pStyle w:val="Heading1"/>
        <w:rPr>
          <w:lang w:val="en-US" w:eastAsia="ko-KR"/>
        </w:rPr>
      </w:pPr>
      <w:r w:rsidRPr="00D46A4D">
        <w:rPr>
          <w:lang w:val="en-US" w:eastAsia="ko-KR"/>
        </w:rPr>
        <w:t xml:space="preserve">1 </w:t>
      </w:r>
      <w:r w:rsidRPr="00161FA7">
        <w:t>Introduction</w:t>
      </w:r>
    </w:p>
    <w:p w14:paraId="69403A0F" w14:textId="222D2E9E" w:rsidR="00266F38" w:rsidRDefault="006E2309" w:rsidP="00E86F99">
      <w:pPr>
        <w:overflowPunct/>
        <w:autoSpaceDE/>
        <w:autoSpaceDN/>
        <w:adjustRightInd/>
        <w:spacing w:after="160" w:line="259" w:lineRule="auto"/>
        <w:ind w:right="-99"/>
        <w:jc w:val="left"/>
        <w:textAlignment w:val="auto"/>
      </w:pPr>
      <w:r>
        <w:t xml:space="preserve">In </w:t>
      </w:r>
      <w:r w:rsidR="00254C51">
        <w:t>previous RAN2</w:t>
      </w:r>
      <w:r>
        <w:t xml:space="preserve"> meeting</w:t>
      </w:r>
      <w:r w:rsidR="00254C51">
        <w:t>s</w:t>
      </w:r>
      <w:r>
        <w:t xml:space="preserve">, </w:t>
      </w:r>
      <w:r w:rsidR="002843A1">
        <w:t>these</w:t>
      </w:r>
      <w:r>
        <w:t xml:space="preserve"> agreements have been reached regarding the eDRX operation for RedCap</w:t>
      </w:r>
      <w:r w:rsidR="007E75DA">
        <w:t xml:space="preserve"> </w:t>
      </w:r>
      <w:r w:rsidR="007E75DA">
        <w:fldChar w:fldCharType="begin"/>
      </w:r>
      <w:r w:rsidR="007E75DA">
        <w:instrText xml:space="preserve"> REF _Ref77343648 \r \h </w:instrText>
      </w:r>
      <w:r w:rsidR="007E75DA">
        <w:fldChar w:fldCharType="separate"/>
      </w:r>
      <w:r w:rsidR="00A528E6">
        <w:t>[1]</w:t>
      </w:r>
      <w:r w:rsidR="007E75DA">
        <w:fldChar w:fldCharType="end"/>
      </w:r>
      <w:r w:rsidR="007E75DA">
        <w:fldChar w:fldCharType="begin"/>
      </w:r>
      <w:r w:rsidR="007E75DA">
        <w:instrText xml:space="preserve"> REF _Ref77343650 \r \h </w:instrText>
      </w:r>
      <w:r w:rsidR="007E75DA">
        <w:fldChar w:fldCharType="separate"/>
      </w:r>
      <w:r w:rsidR="00A528E6">
        <w:t>[2]</w:t>
      </w:r>
      <w:r w:rsidR="007E75DA">
        <w:fldChar w:fldCharType="end"/>
      </w:r>
      <w:r>
        <w:t>:</w:t>
      </w:r>
    </w:p>
    <w:tbl>
      <w:tblPr>
        <w:tblStyle w:val="TableGrid"/>
        <w:tblW w:w="0" w:type="auto"/>
        <w:tblLook w:val="04A0" w:firstRow="1" w:lastRow="0" w:firstColumn="1" w:lastColumn="0" w:noHBand="0" w:noVBand="1"/>
      </w:tblPr>
      <w:tblGrid>
        <w:gridCol w:w="10456"/>
      </w:tblGrid>
      <w:tr w:rsidR="00254C51" w14:paraId="584B720C" w14:textId="77777777" w:rsidTr="00254C51">
        <w:tc>
          <w:tcPr>
            <w:tcW w:w="10456" w:type="dxa"/>
          </w:tcPr>
          <w:p w14:paraId="2B73DBC0" w14:textId="4D2BB95D" w:rsidR="00254C51" w:rsidRDefault="00266F38" w:rsidP="00E86F99">
            <w:pPr>
              <w:overflowPunct/>
              <w:autoSpaceDE/>
              <w:autoSpaceDN/>
              <w:adjustRightInd/>
              <w:spacing w:after="160" w:line="259" w:lineRule="auto"/>
              <w:ind w:right="-99"/>
              <w:jc w:val="left"/>
              <w:textAlignment w:val="auto"/>
              <w:rPr>
                <w:i/>
              </w:rPr>
            </w:pPr>
            <w:r>
              <w:rPr>
                <w:i/>
              </w:rPr>
              <w:t>RAN2#113bis-e:</w:t>
            </w:r>
          </w:p>
          <w:p w14:paraId="08B5FA79" w14:textId="3D6DF580" w:rsidR="00266F38" w:rsidRPr="00266F38" w:rsidRDefault="00266F38" w:rsidP="00266F38">
            <w:pPr>
              <w:pStyle w:val="ListParagraph"/>
              <w:numPr>
                <w:ilvl w:val="0"/>
                <w:numId w:val="35"/>
              </w:numPr>
              <w:overflowPunct/>
              <w:autoSpaceDE/>
              <w:autoSpaceDN/>
              <w:adjustRightInd/>
              <w:spacing w:after="160" w:line="259" w:lineRule="auto"/>
              <w:ind w:right="-99"/>
              <w:jc w:val="left"/>
              <w:textAlignment w:val="auto"/>
            </w:pPr>
            <w:r w:rsidRPr="00266F38">
              <w:t>RAN decides and configures eDRX via RRC for RRC_INACTIVE (FFS on the need and details of coordination with the CN)</w:t>
            </w:r>
          </w:p>
          <w:p w14:paraId="16C21BA3" w14:textId="3E6FFD0D" w:rsidR="00254C51" w:rsidRDefault="00266F38" w:rsidP="00266F38">
            <w:pPr>
              <w:pStyle w:val="ListParagraph"/>
              <w:numPr>
                <w:ilvl w:val="0"/>
                <w:numId w:val="35"/>
              </w:numPr>
              <w:overflowPunct/>
              <w:autoSpaceDE/>
              <w:autoSpaceDN/>
              <w:adjustRightInd/>
              <w:spacing w:after="160" w:line="259" w:lineRule="auto"/>
              <w:ind w:right="-99"/>
              <w:jc w:val="left"/>
              <w:textAlignment w:val="auto"/>
            </w:pPr>
            <w:r w:rsidRPr="00266F38">
              <w:t>At least for eDRX cycle, the configurations of the eDRX for RRC_IDLE and RRC_INACTIVE can be different (FFS for PTW, e.g. length and starting point, when eDRX cycles are longer than 10.24s)</w:t>
            </w:r>
          </w:p>
          <w:p w14:paraId="292519A2" w14:textId="2D4276EF" w:rsidR="00266F38" w:rsidRDefault="00266F38" w:rsidP="00266F38">
            <w:pPr>
              <w:pStyle w:val="ListParagraph"/>
              <w:numPr>
                <w:ilvl w:val="0"/>
                <w:numId w:val="35"/>
              </w:numPr>
              <w:overflowPunct/>
              <w:autoSpaceDE/>
              <w:autoSpaceDN/>
              <w:adjustRightInd/>
              <w:spacing w:after="160" w:line="259" w:lineRule="auto"/>
              <w:ind w:right="-99"/>
              <w:jc w:val="left"/>
              <w:textAlignment w:val="auto"/>
            </w:pPr>
            <w:r>
              <w:t>RAN2 assumes that CN provides necessary assistance information on eDRX config. for RRC_IDLE to RAN (e.g. reusing eDRX config. defined in “CN Assistance Information for RRC INACTIVE IE” for E-UTRA/5GC).</w:t>
            </w:r>
          </w:p>
          <w:p w14:paraId="0F553252" w14:textId="69D97F98" w:rsidR="00266F38" w:rsidRDefault="00266F38" w:rsidP="00266F38">
            <w:pPr>
              <w:pStyle w:val="ListParagraph"/>
              <w:numPr>
                <w:ilvl w:val="0"/>
                <w:numId w:val="35"/>
              </w:numPr>
              <w:overflowPunct/>
              <w:autoSpaceDE/>
              <w:autoSpaceDN/>
              <w:adjustRightInd/>
              <w:spacing w:after="160" w:line="259" w:lineRule="auto"/>
              <w:ind w:right="-99"/>
              <w:jc w:val="left"/>
              <w:textAlignment w:val="auto"/>
            </w:pPr>
            <w:r>
              <w:t>eDRX feature, including the related parameters (i.e. PH, PTW. H-SFN) and corresponding paging operation defined for E-UTRA/5GC is used as baseline to enable eDRX &gt;10.24sec for both RRC_IDLE and RRC_INACTIVE in NR/5GC</w:t>
            </w:r>
          </w:p>
          <w:p w14:paraId="52783ECB" w14:textId="5800E314" w:rsidR="00266F38" w:rsidRDefault="00266F38" w:rsidP="00266F38">
            <w:pPr>
              <w:pStyle w:val="ListParagraph"/>
              <w:numPr>
                <w:ilvl w:val="0"/>
                <w:numId w:val="35"/>
              </w:numPr>
              <w:overflowPunct/>
              <w:autoSpaceDE/>
              <w:autoSpaceDN/>
              <w:adjustRightInd/>
              <w:spacing w:after="160" w:line="259" w:lineRule="auto"/>
              <w:ind w:right="-99"/>
              <w:jc w:val="left"/>
              <w:textAlignment w:val="auto"/>
            </w:pPr>
            <w:r>
              <w:t>RAN2 confirms that CN paging and RAN paging use the same paging frame offset and first PDCCH monitoring occasion in PO, which are configured by RAN without involvement of CN.</w:t>
            </w:r>
          </w:p>
          <w:p w14:paraId="463C9EB4" w14:textId="5E72C51A" w:rsidR="00266F38" w:rsidRPr="00A54356" w:rsidRDefault="00266F38" w:rsidP="00641CD5">
            <w:pPr>
              <w:pStyle w:val="ListParagraph"/>
              <w:overflowPunct/>
              <w:autoSpaceDE/>
              <w:autoSpaceDN/>
              <w:adjustRightInd/>
              <w:spacing w:after="160" w:line="259" w:lineRule="auto"/>
              <w:ind w:right="-99"/>
              <w:jc w:val="left"/>
              <w:textAlignment w:val="auto"/>
              <w:rPr>
                <w:highlight w:val="yellow"/>
              </w:rPr>
            </w:pPr>
          </w:p>
          <w:p w14:paraId="616324E0" w14:textId="5FB5A5C1" w:rsidR="00254C51" w:rsidRPr="00254C51" w:rsidRDefault="00254C51" w:rsidP="00E86F99">
            <w:pPr>
              <w:overflowPunct/>
              <w:autoSpaceDE/>
              <w:autoSpaceDN/>
              <w:adjustRightInd/>
              <w:spacing w:after="160" w:line="259" w:lineRule="auto"/>
              <w:ind w:right="-99"/>
              <w:jc w:val="left"/>
              <w:textAlignment w:val="auto"/>
              <w:rPr>
                <w:i/>
              </w:rPr>
            </w:pPr>
            <w:r w:rsidRPr="00254C51">
              <w:rPr>
                <w:i/>
              </w:rPr>
              <w:t>RAN2#114e:</w:t>
            </w:r>
          </w:p>
          <w:p w14:paraId="652C11A4" w14:textId="56A4B826" w:rsidR="00254C51" w:rsidRDefault="00254C51" w:rsidP="00254C51">
            <w:pPr>
              <w:pStyle w:val="ListParagraph"/>
              <w:numPr>
                <w:ilvl w:val="0"/>
                <w:numId w:val="34"/>
              </w:numPr>
              <w:overflowPunct/>
              <w:autoSpaceDE/>
              <w:autoSpaceDN/>
              <w:adjustRightInd/>
              <w:spacing w:after="160" w:line="259" w:lineRule="auto"/>
              <w:ind w:right="-99"/>
              <w:jc w:val="left"/>
              <w:textAlignment w:val="auto"/>
            </w:pPr>
            <w:r>
              <w:t>It is up to RAN to configure the length for PTW for RAN paging, the RAN PTW length can be different from the CN PTW length.</w:t>
            </w:r>
          </w:p>
          <w:p w14:paraId="66ADAC53" w14:textId="08397E3F" w:rsidR="00254C51" w:rsidRDefault="00254C51" w:rsidP="00254C51">
            <w:pPr>
              <w:pStyle w:val="ListParagraph"/>
              <w:numPr>
                <w:ilvl w:val="0"/>
                <w:numId w:val="34"/>
              </w:numPr>
              <w:overflowPunct/>
              <w:autoSpaceDE/>
              <w:autoSpaceDN/>
              <w:adjustRightInd/>
              <w:spacing w:after="160" w:line="259" w:lineRule="auto"/>
              <w:ind w:right="-99"/>
              <w:jc w:val="left"/>
              <w:textAlignment w:val="auto"/>
            </w:pPr>
            <w:r>
              <w:t>When RAN and CN paging coincide in the same PH, the PTW starting locations are the same. FFS how to calculate the PTW starting location so that it is the same for RAN and CN PTW.</w:t>
            </w:r>
          </w:p>
          <w:p w14:paraId="7DF5C31F" w14:textId="5E4DC21C" w:rsidR="00254C51" w:rsidRDefault="00254C51" w:rsidP="00E86F99">
            <w:pPr>
              <w:pStyle w:val="ListParagraph"/>
              <w:numPr>
                <w:ilvl w:val="0"/>
                <w:numId w:val="34"/>
              </w:numPr>
              <w:overflowPunct/>
              <w:autoSpaceDE/>
              <w:autoSpaceDN/>
              <w:adjustRightInd/>
              <w:spacing w:after="160" w:line="259" w:lineRule="auto"/>
              <w:ind w:right="-99"/>
              <w:jc w:val="left"/>
              <w:textAlignment w:val="auto"/>
            </w:pPr>
            <w:r>
              <w:t>Continue in the next meeting the discussion on how UE is expected to monitor RAN and CN PTW, e.g. whether UE in RRC_INACTIVE monitors for only RAN PTW or both CN and RAN PTW when they overlap</w:t>
            </w:r>
          </w:p>
        </w:tc>
      </w:tr>
    </w:tbl>
    <w:p w14:paraId="5830DE02" w14:textId="77777777" w:rsidR="00254C51" w:rsidRDefault="00254C51" w:rsidP="00E86F99">
      <w:pPr>
        <w:overflowPunct/>
        <w:autoSpaceDE/>
        <w:autoSpaceDN/>
        <w:adjustRightInd/>
        <w:spacing w:after="160" w:line="259" w:lineRule="auto"/>
        <w:ind w:right="-99"/>
        <w:jc w:val="left"/>
        <w:textAlignment w:val="auto"/>
      </w:pPr>
    </w:p>
    <w:p w14:paraId="5C2C9B81" w14:textId="0B84A373"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7E75DA">
        <w:t>the</w:t>
      </w:r>
      <w:r w:rsidR="0052116F">
        <w:t xml:space="preserve"> </w:t>
      </w:r>
      <w:r w:rsidR="00382B0D">
        <w:t>remaining issues</w:t>
      </w:r>
      <w:r w:rsidR="00B066F8">
        <w:t xml:space="preserve"> for </w:t>
      </w:r>
      <w:r w:rsidR="0031708C">
        <w:t>supporting</w:t>
      </w:r>
      <w:r w:rsidR="00A97BE5">
        <w:t xml:space="preserve"> </w:t>
      </w:r>
      <w:r w:rsidR="00B066F8">
        <w:t>eDRX</w:t>
      </w:r>
      <w:r w:rsidR="00A97BE5">
        <w:t xml:space="preserve"> in RedCap.</w:t>
      </w:r>
    </w:p>
    <w:p w14:paraId="3AC10C50" w14:textId="14EAB630" w:rsidR="005C149D" w:rsidRDefault="00291158" w:rsidP="00161FA7">
      <w:pPr>
        <w:pStyle w:val="Heading1"/>
      </w:pPr>
      <w:r w:rsidRPr="00D46A4D">
        <w:t xml:space="preserve">2 </w:t>
      </w:r>
      <w:r w:rsidR="0030648E" w:rsidRPr="00161FA7">
        <w:t>Discussion</w:t>
      </w:r>
    </w:p>
    <w:p w14:paraId="7AF617C4" w14:textId="2B2A076E" w:rsidR="007E75DA" w:rsidRDefault="007E75DA" w:rsidP="007E75DA">
      <w:pPr>
        <w:pStyle w:val="Heading2"/>
      </w:pPr>
      <w:r>
        <w:t xml:space="preserve">2.1 </w:t>
      </w:r>
      <w:r w:rsidR="00F932D1">
        <w:t xml:space="preserve">Background: </w:t>
      </w:r>
      <w:r>
        <w:t>eDRX equations in LTE</w:t>
      </w:r>
    </w:p>
    <w:p w14:paraId="722EE433" w14:textId="77777777" w:rsidR="007E75DA" w:rsidRDefault="007E75DA" w:rsidP="007E75DA">
      <w:r>
        <w:t xml:space="preserve">It was agreed during the RedCap study item that, if the eDRX cycle is larger than 10.24 s, the eDRX mechanism will include the use of H-SFN, PH and PTW, similar to LTE </w:t>
      </w:r>
      <w:r>
        <w:fldChar w:fldCharType="begin"/>
      </w:r>
      <w:r>
        <w:instrText xml:space="preserve"> REF _Ref71031652 \r \h </w:instrText>
      </w:r>
      <w:r>
        <w:fldChar w:fldCharType="separate"/>
      </w:r>
      <w:r w:rsidR="00A528E6">
        <w:t>[3]</w:t>
      </w:r>
      <w:r>
        <w:fldChar w:fldCharType="end"/>
      </w:r>
      <w:r>
        <w:t>. As a reference, we provide the LTE equations below:</w:t>
      </w:r>
    </w:p>
    <w:p w14:paraId="38D04D4F" w14:textId="16CBDACE" w:rsidR="007E75DA" w:rsidRDefault="007E75DA" w:rsidP="007E75DA">
      <w:r>
        <w:t>T</w:t>
      </w:r>
      <w:r w:rsidRPr="005C2BB7">
        <w:t xml:space="preserve">he </w:t>
      </w:r>
      <w:r>
        <w:t>paging hyper-frame (</w:t>
      </w:r>
      <w:r w:rsidRPr="00440738">
        <w:t>PH</w:t>
      </w:r>
      <w:r>
        <w:t xml:space="preserve">) </w:t>
      </w:r>
      <w:r w:rsidRPr="005C2BB7">
        <w:t>is the H-SFN satisfying the following equation</w:t>
      </w:r>
      <w:r>
        <w:t xml:space="preserve"> </w:t>
      </w:r>
      <w:r>
        <w:fldChar w:fldCharType="begin"/>
      </w:r>
      <w:r>
        <w:instrText xml:space="preserve"> REF _Ref71031660 \r \h </w:instrText>
      </w:r>
      <w:r>
        <w:fldChar w:fldCharType="separate"/>
      </w:r>
      <w:r w:rsidR="00A528E6">
        <w:t>[4]</w:t>
      </w:r>
      <w:r>
        <w:fldChar w:fldCharType="end"/>
      </w:r>
      <w:r w:rsidRPr="005C2BB7">
        <w:t>:</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7E75DA" w14:paraId="1712CB20" w14:textId="77777777" w:rsidTr="00586A67">
        <w:trPr>
          <w:trHeight w:val="368"/>
        </w:trPr>
        <w:tc>
          <w:tcPr>
            <w:tcW w:w="6914" w:type="dxa"/>
          </w:tcPr>
          <w:p w14:paraId="2A32971C" w14:textId="77777777" w:rsidR="007E75DA" w:rsidRDefault="007E75DA" w:rsidP="00586A67">
            <w:pPr>
              <w:pStyle w:val="B2"/>
              <w:tabs>
                <w:tab w:val="left" w:pos="-108"/>
              </w:tabs>
              <w:ind w:left="-108" w:firstLine="0"/>
            </w:pPr>
            <w:r w:rsidRPr="00704719">
              <w:rPr>
                <w:i/>
              </w:rPr>
              <w:t>H-SFN mod T</w:t>
            </w:r>
            <w:r w:rsidRPr="00704719">
              <w:rPr>
                <w:i/>
                <w:vertAlign w:val="subscript"/>
              </w:rPr>
              <w:t>eDRX,H</w:t>
            </w:r>
            <w:r w:rsidRPr="00704719">
              <w:rPr>
                <w:i/>
              </w:rPr>
              <w:t>= (UE_ID</w:t>
            </w:r>
            <w:r w:rsidRPr="00704719">
              <w:rPr>
                <w:i/>
                <w:lang w:eastAsia="ja-JP"/>
              </w:rPr>
              <w:t>_H</w:t>
            </w:r>
            <w:r w:rsidRPr="00704719">
              <w:rPr>
                <w:i/>
              </w:rPr>
              <w:t xml:space="preserve"> mod T</w:t>
            </w:r>
            <w:r w:rsidRPr="00704719">
              <w:rPr>
                <w:i/>
                <w:vertAlign w:val="subscript"/>
              </w:rPr>
              <w:t>eDRX,H</w:t>
            </w:r>
            <w:r w:rsidRPr="00704719">
              <w:rPr>
                <w:i/>
              </w:rPr>
              <w:t>)</w:t>
            </w:r>
            <w:r w:rsidRPr="005C2BB7">
              <w:t>, where</w:t>
            </w:r>
          </w:p>
        </w:tc>
        <w:tc>
          <w:tcPr>
            <w:tcW w:w="2838" w:type="dxa"/>
          </w:tcPr>
          <w:p w14:paraId="71DBC49E" w14:textId="77777777" w:rsidR="007E75DA" w:rsidRPr="007D4E0F" w:rsidRDefault="007E75DA" w:rsidP="00586A67">
            <w:pPr>
              <w:pStyle w:val="Caption"/>
              <w:spacing w:before="0"/>
              <w:rPr>
                <w:i/>
              </w:rPr>
            </w:pPr>
            <w:bookmarkStart w:id="2" w:name="_Ref54016306"/>
            <w:r w:rsidRPr="007D4E0F">
              <w:rPr>
                <w:b w:val="0"/>
                <w:i/>
              </w:rPr>
              <w:t xml:space="preserve">Eq </w:t>
            </w:r>
            <w:r w:rsidRPr="007D4E0F">
              <w:rPr>
                <w:b w:val="0"/>
                <w:i/>
              </w:rPr>
              <w:fldChar w:fldCharType="begin"/>
            </w:r>
            <w:r w:rsidRPr="007D4E0F">
              <w:rPr>
                <w:b w:val="0"/>
                <w:i/>
              </w:rPr>
              <w:instrText xml:space="preserve"> SEQ Eq \* ARABIC </w:instrText>
            </w:r>
            <w:r w:rsidRPr="007D4E0F">
              <w:rPr>
                <w:b w:val="0"/>
                <w:i/>
              </w:rPr>
              <w:fldChar w:fldCharType="separate"/>
            </w:r>
            <w:r w:rsidR="00A528E6">
              <w:rPr>
                <w:b w:val="0"/>
                <w:i/>
                <w:noProof/>
              </w:rPr>
              <w:t>1</w:t>
            </w:r>
            <w:r w:rsidRPr="007D4E0F">
              <w:rPr>
                <w:b w:val="0"/>
                <w:i/>
              </w:rPr>
              <w:fldChar w:fldCharType="end"/>
            </w:r>
            <w:bookmarkEnd w:id="2"/>
          </w:p>
        </w:tc>
      </w:tr>
    </w:tbl>
    <w:p w14:paraId="4707497D" w14:textId="77777777" w:rsidR="007E75DA" w:rsidRPr="005C2BB7" w:rsidRDefault="007E75DA" w:rsidP="007E75DA">
      <w:pPr>
        <w:pStyle w:val="B2"/>
        <w:tabs>
          <w:tab w:val="left" w:pos="900"/>
        </w:tabs>
        <w:ind w:left="824"/>
        <w:rPr>
          <w:lang w:eastAsia="ja-JP"/>
        </w:rPr>
      </w:pPr>
      <w:r w:rsidRPr="005C2BB7">
        <w:t>-</w:t>
      </w:r>
      <w:r w:rsidRPr="005C2BB7">
        <w:tab/>
        <w:t>UE_ID</w:t>
      </w:r>
      <w:r w:rsidRPr="005C2BB7">
        <w:rPr>
          <w:lang w:eastAsia="ja-JP"/>
        </w:rPr>
        <w:t>_H</w:t>
      </w:r>
      <w:r w:rsidRPr="005C2BB7">
        <w:t>:</w:t>
      </w:r>
    </w:p>
    <w:p w14:paraId="7D9B2975" w14:textId="77777777" w:rsidR="007E75DA" w:rsidRPr="005C2BB7" w:rsidRDefault="007E75DA" w:rsidP="007E75DA">
      <w:pPr>
        <w:pStyle w:val="B3"/>
        <w:ind w:left="1108"/>
        <w:rPr>
          <w:lang w:eastAsia="ja-JP"/>
        </w:rPr>
      </w:pPr>
      <w:r w:rsidRPr="005C2BB7">
        <w:rPr>
          <w:lang w:eastAsia="ja-JP"/>
        </w:rPr>
        <w:t>- 10 most significant bits of the Hashed ID, if P-RNTI is monitored on PDCCH or MPDCCH</w:t>
      </w:r>
    </w:p>
    <w:p w14:paraId="449260AB" w14:textId="77777777" w:rsidR="007E75DA" w:rsidRPr="005C2BB7" w:rsidRDefault="007E75DA" w:rsidP="007E75DA">
      <w:pPr>
        <w:pStyle w:val="B3"/>
        <w:ind w:left="1108"/>
      </w:pPr>
      <w:r w:rsidRPr="005C2BB7">
        <w:rPr>
          <w:lang w:eastAsia="ja-JP"/>
        </w:rPr>
        <w:t>- 12 most significant bits of the Hashed ID, if P-RNTI is monitored on NPDCCH</w:t>
      </w:r>
    </w:p>
    <w:p w14:paraId="3E936101" w14:textId="77777777" w:rsidR="007E75DA" w:rsidRDefault="007E75DA" w:rsidP="007E75DA">
      <w:pPr>
        <w:pStyle w:val="B2"/>
        <w:tabs>
          <w:tab w:val="left" w:pos="900"/>
        </w:tabs>
        <w:ind w:left="824"/>
      </w:pPr>
      <w:r w:rsidRPr="005C2BB7">
        <w:t>-</w:t>
      </w:r>
      <w:r w:rsidRPr="005C2BB7">
        <w:tab/>
        <w:t>T</w:t>
      </w:r>
      <w:r w:rsidRPr="005C2BB7">
        <w:rPr>
          <w:vertAlign w:val="subscript"/>
        </w:rPr>
        <w:t xml:space="preserve"> eDRX,H</w:t>
      </w:r>
      <w:r w:rsidRPr="005C2BB7">
        <w:t xml:space="preserve"> : eDRX cycle of the UE in Hyper-frames, (T</w:t>
      </w:r>
      <w:r w:rsidRPr="005C2BB7">
        <w:rPr>
          <w:vertAlign w:val="subscript"/>
        </w:rPr>
        <w:t>eDRX,H</w:t>
      </w:r>
      <w:r w:rsidRPr="005C2BB7">
        <w:t xml:space="preserve"> =1, 2, …, 256 Hyper-frames) (for NB-IoT, T</w:t>
      </w:r>
      <w:r w:rsidRPr="005C2BB7">
        <w:rPr>
          <w:vertAlign w:val="subscript"/>
        </w:rPr>
        <w:t>eDRX,H</w:t>
      </w:r>
      <w:r w:rsidRPr="005C2BB7">
        <w:t xml:space="preserve"> =2, …, 1024 Hyper-frames) and configured by upper layers.</w:t>
      </w:r>
    </w:p>
    <w:p w14:paraId="36FD37E2" w14:textId="77777777" w:rsidR="007E75DA" w:rsidRDefault="007E75DA" w:rsidP="007E75DA">
      <w:r>
        <w:t xml:space="preserve">PTW_start, the first </w:t>
      </w:r>
      <w:r w:rsidRPr="00440738">
        <w:t>radio frame of the PH that is part of the PTW</w:t>
      </w:r>
      <w:r>
        <w:t>, has SFN satisfying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7E75DA" w14:paraId="38A1CF38" w14:textId="77777777" w:rsidTr="00586A67">
        <w:trPr>
          <w:trHeight w:val="415"/>
        </w:trPr>
        <w:tc>
          <w:tcPr>
            <w:tcW w:w="6914" w:type="dxa"/>
          </w:tcPr>
          <w:p w14:paraId="2B55AEBF" w14:textId="77777777" w:rsidR="007E75DA" w:rsidRDefault="007E75DA" w:rsidP="00586A67">
            <w:pPr>
              <w:pStyle w:val="B2"/>
              <w:tabs>
                <w:tab w:val="left" w:pos="-103"/>
              </w:tabs>
              <w:ind w:left="0" w:hanging="103"/>
            </w:pPr>
            <w:r w:rsidRPr="00704719">
              <w:rPr>
                <w:i/>
              </w:rPr>
              <w:t>SFN = 256* i</w:t>
            </w:r>
            <w:r w:rsidRPr="00704719">
              <w:rPr>
                <w:i/>
                <w:vertAlign w:val="subscript"/>
              </w:rPr>
              <w:t>eDRX</w:t>
            </w:r>
            <w:r w:rsidRPr="00704719">
              <w:rPr>
                <w:i/>
              </w:rPr>
              <w:t xml:space="preserve">, </w:t>
            </w:r>
            <w:r w:rsidRPr="00510DDE">
              <w:t>where</w:t>
            </w:r>
          </w:p>
        </w:tc>
        <w:tc>
          <w:tcPr>
            <w:tcW w:w="2838" w:type="dxa"/>
          </w:tcPr>
          <w:p w14:paraId="111DA078" w14:textId="77777777" w:rsidR="007E75DA" w:rsidRPr="007D4E0F" w:rsidRDefault="007E75DA" w:rsidP="00586A67">
            <w:pPr>
              <w:pStyle w:val="Caption"/>
              <w:keepNext/>
              <w:spacing w:before="0"/>
              <w:jc w:val="left"/>
              <w:rPr>
                <w:b w:val="0"/>
                <w:i/>
              </w:rPr>
            </w:pPr>
            <w:bookmarkStart w:id="3" w:name="_Ref54017162"/>
            <w:r w:rsidRPr="007D4E0F">
              <w:rPr>
                <w:b w:val="0"/>
                <w:i/>
              </w:rPr>
              <w:t xml:space="preserve">Eq </w:t>
            </w:r>
            <w:r w:rsidRPr="007D4E0F">
              <w:rPr>
                <w:b w:val="0"/>
                <w:i/>
              </w:rPr>
              <w:fldChar w:fldCharType="begin"/>
            </w:r>
            <w:r w:rsidRPr="007D4E0F">
              <w:rPr>
                <w:b w:val="0"/>
                <w:i/>
              </w:rPr>
              <w:instrText xml:space="preserve"> SEQ Eq \* ARABIC </w:instrText>
            </w:r>
            <w:r w:rsidRPr="007D4E0F">
              <w:rPr>
                <w:b w:val="0"/>
                <w:i/>
              </w:rPr>
              <w:fldChar w:fldCharType="separate"/>
            </w:r>
            <w:r w:rsidR="00A528E6">
              <w:rPr>
                <w:b w:val="0"/>
                <w:i/>
                <w:noProof/>
              </w:rPr>
              <w:t>2</w:t>
            </w:r>
            <w:r w:rsidRPr="007D4E0F">
              <w:rPr>
                <w:b w:val="0"/>
                <w:i/>
              </w:rPr>
              <w:fldChar w:fldCharType="end"/>
            </w:r>
            <w:bookmarkEnd w:id="3"/>
          </w:p>
        </w:tc>
      </w:tr>
    </w:tbl>
    <w:p w14:paraId="329776F4" w14:textId="77777777" w:rsidR="007E75DA" w:rsidRPr="005C2BB7" w:rsidRDefault="007E75DA" w:rsidP="007E75DA">
      <w:pPr>
        <w:pStyle w:val="B2"/>
        <w:tabs>
          <w:tab w:val="left" w:pos="900"/>
        </w:tabs>
        <w:ind w:left="824"/>
      </w:pPr>
      <w:r w:rsidRPr="005C2BB7">
        <w:lastRenderedPageBreak/>
        <w:t>-</w:t>
      </w:r>
      <w:r w:rsidRPr="005C2BB7">
        <w:tab/>
        <w:t>i</w:t>
      </w:r>
      <w:r w:rsidRPr="005C2BB7">
        <w:rPr>
          <w:vertAlign w:val="subscript"/>
        </w:rPr>
        <w:t>eDRX</w:t>
      </w:r>
      <w:r w:rsidRPr="005C2BB7">
        <w:t xml:space="preserve"> = floor(UE_ID</w:t>
      </w:r>
      <w:r w:rsidRPr="005C2BB7">
        <w:rPr>
          <w:lang w:eastAsia="ja-JP"/>
        </w:rPr>
        <w:t>_H</w:t>
      </w:r>
      <w:r w:rsidRPr="005C2BB7">
        <w:t xml:space="preserve"> /T</w:t>
      </w:r>
      <w:r w:rsidRPr="005C2BB7">
        <w:rPr>
          <w:vertAlign w:val="subscript"/>
        </w:rPr>
        <w:t>eDRX,H</w:t>
      </w:r>
      <w:r w:rsidRPr="005C2BB7">
        <w:t>) mod 4</w:t>
      </w:r>
    </w:p>
    <w:p w14:paraId="77BB3FC9" w14:textId="77777777" w:rsidR="007E75DA" w:rsidRPr="005C2BB7" w:rsidRDefault="007E75DA" w:rsidP="007E75DA">
      <w:r w:rsidRPr="005C2BB7">
        <w:t>PT</w:t>
      </w:r>
      <w:r>
        <w:t xml:space="preserve">W_end, </w:t>
      </w:r>
      <w:r w:rsidRPr="005C2BB7">
        <w:t>the last radio frame of the PTW</w:t>
      </w:r>
      <w:r>
        <w:t>,</w:t>
      </w:r>
      <w:r w:rsidRPr="005C2BB7">
        <w:t xml:space="preserve"> </w:t>
      </w:r>
      <w:r>
        <w:t>has SFN satisfying</w:t>
      </w:r>
      <w:r w:rsidRPr="005C2BB7">
        <w:t xml:space="preserve"> the following equation:</w:t>
      </w:r>
    </w:p>
    <w:tbl>
      <w:tblPr>
        <w:tblStyle w:val="TableGrid"/>
        <w:tblW w:w="0" w:type="auto"/>
        <w:tblInd w:w="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7E75DA" w14:paraId="0048263A" w14:textId="77777777" w:rsidTr="00586A67">
        <w:trPr>
          <w:trHeight w:val="415"/>
        </w:trPr>
        <w:tc>
          <w:tcPr>
            <w:tcW w:w="6914" w:type="dxa"/>
          </w:tcPr>
          <w:p w14:paraId="658AF75B" w14:textId="77777777" w:rsidR="007E75DA" w:rsidRDefault="007E75DA" w:rsidP="00586A67">
            <w:pPr>
              <w:pStyle w:val="B2"/>
              <w:tabs>
                <w:tab w:val="left" w:pos="-108"/>
              </w:tabs>
              <w:ind w:left="-108" w:firstLine="0"/>
            </w:pPr>
            <w:r w:rsidRPr="00704719">
              <w:rPr>
                <w:i/>
              </w:rPr>
              <w:t xml:space="preserve">SFN = (PTW_start + L*100 - 1) mod 1024, </w:t>
            </w:r>
            <w:r w:rsidRPr="00510DDE">
              <w:t>where</w:t>
            </w:r>
          </w:p>
        </w:tc>
        <w:tc>
          <w:tcPr>
            <w:tcW w:w="2838" w:type="dxa"/>
          </w:tcPr>
          <w:p w14:paraId="1F404949" w14:textId="77777777" w:rsidR="007E75DA" w:rsidRPr="00643C42" w:rsidRDefault="007E75DA" w:rsidP="00586A67">
            <w:pPr>
              <w:pStyle w:val="Caption"/>
              <w:keepNext/>
              <w:spacing w:before="0"/>
              <w:jc w:val="left"/>
              <w:rPr>
                <w:b w:val="0"/>
                <w:i/>
              </w:rPr>
            </w:pPr>
            <w:bookmarkStart w:id="4" w:name="_Ref54017164"/>
            <w:r w:rsidRPr="00643C42">
              <w:rPr>
                <w:b w:val="0"/>
                <w:i/>
              </w:rPr>
              <w:t xml:space="preserve">Eq </w:t>
            </w:r>
            <w:r w:rsidRPr="00643C42">
              <w:rPr>
                <w:b w:val="0"/>
                <w:i/>
              </w:rPr>
              <w:fldChar w:fldCharType="begin"/>
            </w:r>
            <w:r w:rsidRPr="00643C42">
              <w:rPr>
                <w:b w:val="0"/>
                <w:i/>
              </w:rPr>
              <w:instrText xml:space="preserve"> SEQ Eq \* ARABIC </w:instrText>
            </w:r>
            <w:r w:rsidRPr="00643C42">
              <w:rPr>
                <w:b w:val="0"/>
                <w:i/>
              </w:rPr>
              <w:fldChar w:fldCharType="separate"/>
            </w:r>
            <w:r w:rsidR="00A528E6">
              <w:rPr>
                <w:b w:val="0"/>
                <w:i/>
                <w:noProof/>
              </w:rPr>
              <w:t>3</w:t>
            </w:r>
            <w:r w:rsidRPr="00643C42">
              <w:rPr>
                <w:b w:val="0"/>
                <w:i/>
              </w:rPr>
              <w:fldChar w:fldCharType="end"/>
            </w:r>
            <w:bookmarkEnd w:id="4"/>
          </w:p>
        </w:tc>
      </w:tr>
    </w:tbl>
    <w:p w14:paraId="6AEF3517" w14:textId="77777777" w:rsidR="007E75DA" w:rsidRDefault="007E75DA" w:rsidP="007E75DA">
      <w:pPr>
        <w:pStyle w:val="B2"/>
        <w:tabs>
          <w:tab w:val="left" w:pos="900"/>
        </w:tabs>
        <w:ind w:left="824"/>
      </w:pPr>
      <w:r w:rsidRPr="005C2BB7">
        <w:t>-</w:t>
      </w:r>
      <w:r w:rsidRPr="005C2BB7">
        <w:tab/>
        <w:t>L = Paging Time Window length (in seconds) configured by upper layers</w:t>
      </w:r>
    </w:p>
    <w:p w14:paraId="4DFAA50D" w14:textId="77777777" w:rsidR="007E75DA" w:rsidRPr="007E75DA" w:rsidRDefault="007E75DA" w:rsidP="007E75DA"/>
    <w:p w14:paraId="74986FE2" w14:textId="3B72483E" w:rsidR="00A54356" w:rsidRPr="00A54356" w:rsidRDefault="00A54356" w:rsidP="00A54356">
      <w:pPr>
        <w:pStyle w:val="Heading2"/>
      </w:pPr>
      <w:r>
        <w:t>2.2 PTW start positions</w:t>
      </w:r>
    </w:p>
    <w:p w14:paraId="253CC48A" w14:textId="668DC0C3" w:rsidR="007E75DA" w:rsidRDefault="00805ACA" w:rsidP="00A54356">
      <w:pPr>
        <w:pStyle w:val="Heading3"/>
      </w:pPr>
      <w:r>
        <w:t>2.2</w:t>
      </w:r>
      <w:r w:rsidR="00A54356">
        <w:t>.1</w:t>
      </w:r>
      <w:r w:rsidR="007E75DA">
        <w:t xml:space="preserve"> How to determine PTW start positions</w:t>
      </w:r>
    </w:p>
    <w:p w14:paraId="58B354FC" w14:textId="0CFD9FB8" w:rsidR="00A528E6" w:rsidRDefault="00A528E6" w:rsidP="00A528E6">
      <w:r>
        <w:t xml:space="preserve">It can be observed from the LTE </w:t>
      </w:r>
      <w:r w:rsidR="00311F9B">
        <w:t>equations</w:t>
      </w:r>
      <w:r>
        <w:t xml:space="preserve"> that, from the network point of view, an eDRX cycle consists of a number of PTWs offset from each other by 256 SFNs. The UEs are then distributed uniformly between the PTWs. (Note that this is based on the assumption that the same eDRX configuration is applied to all UEs. In reality, there can be differences between the eDRX configurations of the UEs, which means a completely uniform distribution of UEs may not always be achieved.)</w:t>
      </w:r>
    </w:p>
    <w:p w14:paraId="72D03564" w14:textId="77777777" w:rsidR="00A528E6" w:rsidRDefault="00A528E6" w:rsidP="00A528E6">
      <w:r>
        <w:t>An example configuration with T</w:t>
      </w:r>
      <w:r w:rsidRPr="00DD1119">
        <w:rPr>
          <w:vertAlign w:val="subscript"/>
        </w:rPr>
        <w:t>eDRX</w:t>
      </w:r>
      <w:r>
        <w:t xml:space="preserve">=20.48 s and L=5.12 s can be illustrated in </w:t>
      </w:r>
      <w:r>
        <w:fldChar w:fldCharType="begin"/>
      </w:r>
      <w:r>
        <w:instrText xml:space="preserve"> REF _Ref68008648 \h </w:instrText>
      </w:r>
      <w:r>
        <w:fldChar w:fldCharType="separate"/>
      </w:r>
      <w:r>
        <w:t xml:space="preserve">Figure </w:t>
      </w:r>
      <w:r>
        <w:rPr>
          <w:noProof/>
        </w:rPr>
        <w:t>1</w:t>
      </w:r>
      <w:r>
        <w:fldChar w:fldCharType="end"/>
      </w:r>
      <w:r>
        <w:t xml:space="preserve"> below.</w:t>
      </w:r>
    </w:p>
    <w:p w14:paraId="389D221C" w14:textId="77777777" w:rsidR="00A528E6" w:rsidRDefault="00A528E6" w:rsidP="00A528E6">
      <w:pPr>
        <w:keepNext/>
        <w:jc w:val="center"/>
      </w:pPr>
      <w:r w:rsidRPr="00E9253A">
        <w:rPr>
          <w:noProof/>
          <w:lang w:val="en-US"/>
        </w:rPr>
        <w:drawing>
          <wp:inline distT="0" distB="0" distL="0" distR="0" wp14:anchorId="5ACDA9E1" wp14:editId="1EFAFB86">
            <wp:extent cx="6645910" cy="17073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1707350"/>
                    </a:xfrm>
                    <a:prstGeom prst="rect">
                      <a:avLst/>
                    </a:prstGeom>
                    <a:noFill/>
                    <a:ln>
                      <a:noFill/>
                    </a:ln>
                  </pic:spPr>
                </pic:pic>
              </a:graphicData>
            </a:graphic>
          </wp:inline>
        </w:drawing>
      </w:r>
    </w:p>
    <w:p w14:paraId="7F324B7C" w14:textId="77777777" w:rsidR="00A528E6" w:rsidRDefault="00A528E6" w:rsidP="00A528E6">
      <w:pPr>
        <w:pStyle w:val="Caption"/>
        <w:jc w:val="center"/>
      </w:pPr>
      <w:bookmarkStart w:id="5" w:name="_Ref68008648"/>
      <w:r>
        <w:t xml:space="preserve">Figure </w:t>
      </w:r>
      <w:r>
        <w:rPr>
          <w:noProof/>
        </w:rPr>
        <w:fldChar w:fldCharType="begin"/>
      </w:r>
      <w:r>
        <w:rPr>
          <w:noProof/>
        </w:rPr>
        <w:instrText xml:space="preserve"> SEQ Figure \* ARABIC </w:instrText>
      </w:r>
      <w:r>
        <w:rPr>
          <w:noProof/>
        </w:rPr>
        <w:fldChar w:fldCharType="separate"/>
      </w:r>
      <w:r w:rsidR="00F166D6">
        <w:rPr>
          <w:noProof/>
        </w:rPr>
        <w:t>1</w:t>
      </w:r>
      <w:r>
        <w:rPr>
          <w:noProof/>
        </w:rPr>
        <w:fldChar w:fldCharType="end"/>
      </w:r>
      <w:bookmarkEnd w:id="5"/>
      <w:r>
        <w:t xml:space="preserve"> Example with T</w:t>
      </w:r>
      <w:r w:rsidRPr="00DD1119">
        <w:rPr>
          <w:rFonts w:ascii="Times New Roman Bold" w:hAnsi="Times New Roman Bold"/>
          <w:vertAlign w:val="subscript"/>
        </w:rPr>
        <w:t>eDRX</w:t>
      </w:r>
      <w:r>
        <w:t>=20.48 s and L=5.12 s for different UEs</w:t>
      </w:r>
    </w:p>
    <w:p w14:paraId="4786C08B" w14:textId="77777777" w:rsidR="00A528E6" w:rsidRDefault="00A528E6" w:rsidP="00A528E6"/>
    <w:p w14:paraId="17956EF0" w14:textId="5F583DB4" w:rsidR="00A528E6" w:rsidRDefault="00A528E6" w:rsidP="00A528E6">
      <w:r>
        <w:t xml:space="preserve">The maximum value for the eDRX cycle and the number of possible PTW_start offsets in a hyper-frame dictate the number of bits of the UE identity (e.g. Hashed ID) that is used in the </w:t>
      </w:r>
      <w:r w:rsidR="00311F9B">
        <w:t>equations</w:t>
      </w:r>
      <w:r>
        <w:t xml:space="preserve">. For example, to support a maximum eDRX cycle of 10485.76 s 10 bits are needed (to cover 1024 hyper-frames), and additionally to support 4 starting offsets 2 more bits are needed, therefore in total 12 bits of UE identity are used in the eDRX </w:t>
      </w:r>
      <w:r w:rsidR="00311F9B">
        <w:t>equations</w:t>
      </w:r>
      <w:r>
        <w:t xml:space="preserve"> for NB-IoT (i.e. NPDCCH case).</w:t>
      </w:r>
    </w:p>
    <w:p w14:paraId="66B9DC72" w14:textId="288474D0" w:rsidR="001044C4" w:rsidRDefault="001044C4" w:rsidP="0052116F">
      <w:r>
        <w:t xml:space="preserve">Fixing the number of possible PTW_start </w:t>
      </w:r>
      <w:r w:rsidR="008932C3">
        <w:t>positions in a hyper-frame</w:t>
      </w:r>
      <w:r>
        <w:t xml:space="preserve"> to 4 (i.e. 256 SFNs between each other) introduces some limitations for the network configuration of eDRX for multiple UEs. For example, for small values of L (1.28 s), there may be time gaps where no UE can be paged by the network. This can be illustrated </w:t>
      </w:r>
      <w:r w:rsidR="00DD1119">
        <w:t>in</w:t>
      </w:r>
      <w:r w:rsidR="005B0646">
        <w:t xml:space="preserve"> </w:t>
      </w:r>
      <w:r w:rsidR="005B0646">
        <w:fldChar w:fldCharType="begin"/>
      </w:r>
      <w:r w:rsidR="005B0646">
        <w:instrText xml:space="preserve"> REF _Ref68010161 \h </w:instrText>
      </w:r>
      <w:r w:rsidR="005B0646">
        <w:fldChar w:fldCharType="separate"/>
      </w:r>
      <w:r w:rsidR="00A528E6">
        <w:t xml:space="preserve">Figure </w:t>
      </w:r>
      <w:r w:rsidR="00A528E6">
        <w:rPr>
          <w:noProof/>
        </w:rPr>
        <w:t>2</w:t>
      </w:r>
      <w:r w:rsidR="005B0646">
        <w:fldChar w:fldCharType="end"/>
      </w:r>
      <w:r w:rsidR="00DD1119">
        <w:t xml:space="preserve"> </w:t>
      </w:r>
      <w:r>
        <w:t>below.</w:t>
      </w:r>
    </w:p>
    <w:p w14:paraId="76F72C27" w14:textId="77777777" w:rsidR="00DD1119" w:rsidRDefault="001044C4" w:rsidP="00DD1119">
      <w:pPr>
        <w:keepNext/>
        <w:jc w:val="center"/>
      </w:pPr>
      <w:r w:rsidRPr="001044C4">
        <w:rPr>
          <w:noProof/>
          <w:lang w:val="en-US"/>
        </w:rPr>
        <w:drawing>
          <wp:inline distT="0" distB="0" distL="0" distR="0" wp14:anchorId="28066DE6" wp14:editId="19DF5430">
            <wp:extent cx="6645910" cy="198276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982767"/>
                    </a:xfrm>
                    <a:prstGeom prst="rect">
                      <a:avLst/>
                    </a:prstGeom>
                    <a:noFill/>
                    <a:ln>
                      <a:noFill/>
                    </a:ln>
                  </pic:spPr>
                </pic:pic>
              </a:graphicData>
            </a:graphic>
          </wp:inline>
        </w:drawing>
      </w:r>
    </w:p>
    <w:p w14:paraId="02766D0D" w14:textId="0E9BB603" w:rsidR="000A1B56" w:rsidRDefault="00DD1119" w:rsidP="00DD1119">
      <w:pPr>
        <w:pStyle w:val="Caption"/>
        <w:jc w:val="center"/>
      </w:pPr>
      <w:bookmarkStart w:id="6" w:name="_Ref68010161"/>
      <w:r>
        <w:t xml:space="preserve">Figure </w:t>
      </w:r>
      <w:r w:rsidR="00931FF0">
        <w:rPr>
          <w:noProof/>
        </w:rPr>
        <w:fldChar w:fldCharType="begin"/>
      </w:r>
      <w:r w:rsidR="00931FF0">
        <w:rPr>
          <w:noProof/>
        </w:rPr>
        <w:instrText xml:space="preserve"> SEQ Figure \* ARABIC </w:instrText>
      </w:r>
      <w:r w:rsidR="00931FF0">
        <w:rPr>
          <w:noProof/>
        </w:rPr>
        <w:fldChar w:fldCharType="separate"/>
      </w:r>
      <w:r w:rsidR="00F166D6">
        <w:rPr>
          <w:noProof/>
        </w:rPr>
        <w:t>2</w:t>
      </w:r>
      <w:r w:rsidR="00931FF0">
        <w:rPr>
          <w:noProof/>
        </w:rPr>
        <w:fldChar w:fldCharType="end"/>
      </w:r>
      <w:bookmarkEnd w:id="6"/>
      <w:r>
        <w:t xml:space="preserve"> Example with T</w:t>
      </w:r>
      <w:r w:rsidRPr="00DD1119">
        <w:rPr>
          <w:rFonts w:ascii="Times New Roman Bold" w:hAnsi="Times New Roman Bold"/>
          <w:vertAlign w:val="subscript"/>
        </w:rPr>
        <w:t>eDRX</w:t>
      </w:r>
      <w:r>
        <w:t>=20.48 s and L=1.28 s for different UEs</w:t>
      </w:r>
    </w:p>
    <w:p w14:paraId="57C2CCFA" w14:textId="77777777" w:rsidR="00775E10" w:rsidRDefault="00775E10" w:rsidP="0052116F"/>
    <w:p w14:paraId="27AD82D7" w14:textId="423DA3E5" w:rsidR="001044C4" w:rsidRDefault="007E75DA" w:rsidP="0052116F">
      <w:r>
        <w:t>In RedCap</w:t>
      </w:r>
      <w:r w:rsidR="00BF4BF5">
        <w:t xml:space="preserve">, the offset </w:t>
      </w:r>
      <w:r w:rsidR="008932C3">
        <w:t xml:space="preserve">between PTW_start positions </w:t>
      </w:r>
      <w:r w:rsidR="00BF4BF5">
        <w:t xml:space="preserve">can be </w:t>
      </w:r>
      <w:r w:rsidR="00940959">
        <w:t>configurable</w:t>
      </w:r>
      <w:r w:rsidR="00BF4BF5">
        <w:t xml:space="preserve"> by the network, and the </w:t>
      </w:r>
      <w:r w:rsidR="00311F9B">
        <w:t>equations</w:t>
      </w:r>
      <w:r w:rsidR="00BF4BF5">
        <w:t xml:space="preserve"> above can be updated </w:t>
      </w:r>
      <w:r w:rsidR="00546AA6">
        <w:t>accordingly.</w:t>
      </w:r>
      <w:r w:rsidR="00BF4BF5">
        <w:t xml:space="preserve"> This can enable the network to </w:t>
      </w:r>
      <w:r w:rsidR="00144A06">
        <w:t>schedule</w:t>
      </w:r>
      <w:r w:rsidR="00BF4BF5">
        <w:t xml:space="preserve"> </w:t>
      </w:r>
      <w:r w:rsidR="00DD1119">
        <w:t>the</w:t>
      </w:r>
      <w:r w:rsidR="00BF4BF5">
        <w:t xml:space="preserve"> paging cycles for multiple UEs </w:t>
      </w:r>
      <w:r w:rsidR="00DD1119">
        <w:t>in a more flexible and efficient manner</w:t>
      </w:r>
      <w:r w:rsidR="00BF4BF5">
        <w:t>.</w:t>
      </w:r>
      <w:r w:rsidR="007E1C96">
        <w:t xml:space="preserve"> Note that this will have an effect on the number of UE_ID_H bits used in the </w:t>
      </w:r>
      <w:r w:rsidR="00311F9B">
        <w:t>equations</w:t>
      </w:r>
      <w:r w:rsidR="007E1C96">
        <w:t xml:space="preserve"> (for example, if the offset is 128 SFN instead of 256 SFN, one more bit of UE_ID_H will be used in the </w:t>
      </w:r>
      <w:r w:rsidR="00311F9B">
        <w:t>equations</w:t>
      </w:r>
      <w:r w:rsidR="007E1C96">
        <w:t>).</w:t>
      </w:r>
    </w:p>
    <w:p w14:paraId="0E366A36" w14:textId="3518B005" w:rsidR="008932C3" w:rsidRDefault="008932C3" w:rsidP="0052116F">
      <w:r>
        <w:lastRenderedPageBreak/>
        <w:t>Alternatively, the offset between the starting positions for PTW_start could be reduced to 128 SFNs. This will require one more bit of UE_ID_H to be used in the PH/PTW calculations.</w:t>
      </w:r>
    </w:p>
    <w:p w14:paraId="316E2C20" w14:textId="5FD4F97B" w:rsidR="008932C3" w:rsidRDefault="00BF4BF5" w:rsidP="008932C3">
      <w:pPr>
        <w:spacing w:after="0"/>
        <w:rPr>
          <w:b/>
        </w:rPr>
      </w:pPr>
      <w:r w:rsidRPr="000A79DF">
        <w:rPr>
          <w:b/>
        </w:rPr>
        <w:t>Proposal</w:t>
      </w:r>
      <w:r w:rsidR="00805ACA">
        <w:rPr>
          <w:b/>
        </w:rPr>
        <w:t xml:space="preserve"> 1</w:t>
      </w:r>
      <w:r w:rsidRPr="000A79DF">
        <w:rPr>
          <w:b/>
        </w:rPr>
        <w:t xml:space="preserve">: </w:t>
      </w:r>
      <w:r w:rsidR="008932C3">
        <w:rPr>
          <w:b/>
        </w:rPr>
        <w:t>RAN2 to select from the fol</w:t>
      </w:r>
      <w:r w:rsidR="001D701F">
        <w:rPr>
          <w:b/>
        </w:rPr>
        <w:t>lowing options regarding the PTW</w:t>
      </w:r>
      <w:r w:rsidR="008932C3">
        <w:rPr>
          <w:b/>
        </w:rPr>
        <w:t>_start positions:</w:t>
      </w:r>
    </w:p>
    <w:p w14:paraId="35C75A1C" w14:textId="31814D5C" w:rsidR="00DC7B11" w:rsidRDefault="008932C3" w:rsidP="008932C3">
      <w:pPr>
        <w:pStyle w:val="ListParagraph"/>
        <w:numPr>
          <w:ilvl w:val="0"/>
          <w:numId w:val="25"/>
        </w:numPr>
        <w:spacing w:after="0"/>
        <w:rPr>
          <w:b/>
        </w:rPr>
      </w:pPr>
      <w:r>
        <w:rPr>
          <w:b/>
        </w:rPr>
        <w:t>C</w:t>
      </w:r>
      <w:r w:rsidR="00775E10">
        <w:rPr>
          <w:b/>
        </w:rPr>
        <w:t>onfigurable</w:t>
      </w:r>
      <w:r w:rsidR="00BF4BF5" w:rsidRPr="000A79DF">
        <w:rPr>
          <w:b/>
        </w:rPr>
        <w:t xml:space="preserve"> b</w:t>
      </w:r>
      <w:r w:rsidR="00FD43FD">
        <w:rPr>
          <w:b/>
        </w:rPr>
        <w:t>y the network</w:t>
      </w:r>
    </w:p>
    <w:p w14:paraId="12F030C4" w14:textId="30265E92" w:rsidR="00DC7B11" w:rsidRDefault="00FD43FD" w:rsidP="0052116F">
      <w:pPr>
        <w:pStyle w:val="ListParagraph"/>
        <w:numPr>
          <w:ilvl w:val="0"/>
          <w:numId w:val="25"/>
        </w:numPr>
        <w:spacing w:after="0"/>
        <w:rPr>
          <w:b/>
        </w:rPr>
      </w:pPr>
      <w:r>
        <w:rPr>
          <w:b/>
        </w:rPr>
        <w:t>Fixed to multiples of 128 SFNs</w:t>
      </w:r>
    </w:p>
    <w:p w14:paraId="001BD0F9" w14:textId="62C57FB5" w:rsidR="008932C3" w:rsidRPr="00DC7B11" w:rsidRDefault="008932C3" w:rsidP="0052116F">
      <w:pPr>
        <w:pStyle w:val="ListParagraph"/>
        <w:numPr>
          <w:ilvl w:val="0"/>
          <w:numId w:val="25"/>
        </w:numPr>
        <w:spacing w:after="0"/>
        <w:rPr>
          <w:b/>
        </w:rPr>
      </w:pPr>
      <w:r w:rsidRPr="00DC7B11">
        <w:rPr>
          <w:b/>
        </w:rPr>
        <w:t>Fixed to mul</w:t>
      </w:r>
      <w:r w:rsidR="007E75DA">
        <w:rPr>
          <w:b/>
        </w:rPr>
        <w:t>tiples of 256 SFNs as in LTE (with</w:t>
      </w:r>
      <w:r w:rsidRPr="00DC7B11">
        <w:rPr>
          <w:b/>
        </w:rPr>
        <w:t xml:space="preserve"> a potential cost of </w:t>
      </w:r>
      <w:r w:rsidR="007E75DA">
        <w:rPr>
          <w:b/>
        </w:rPr>
        <w:t>non-uniform distribution of POs</w:t>
      </w:r>
      <w:r w:rsidR="00FD43FD">
        <w:rPr>
          <w:b/>
        </w:rPr>
        <w:t>)</w:t>
      </w:r>
    </w:p>
    <w:p w14:paraId="5E600065" w14:textId="77777777" w:rsidR="00DC7B11" w:rsidRDefault="00DC7B11" w:rsidP="000A79DF"/>
    <w:p w14:paraId="1DDE1103" w14:textId="24B128AD" w:rsidR="00805ACA" w:rsidRDefault="00A54356" w:rsidP="00A54356">
      <w:pPr>
        <w:pStyle w:val="Heading3"/>
      </w:pPr>
      <w:r>
        <w:t>2.2.2</w:t>
      </w:r>
      <w:r w:rsidR="00805ACA">
        <w:rPr>
          <w:b/>
        </w:rPr>
        <w:t xml:space="preserve"> </w:t>
      </w:r>
      <w:r w:rsidR="00805ACA">
        <w:t xml:space="preserve">PTW start positions </w:t>
      </w:r>
      <w:r w:rsidR="009A11D1">
        <w:t>in RRC_INACTIVE</w:t>
      </w:r>
    </w:p>
    <w:p w14:paraId="6B3F7488" w14:textId="07AFA537" w:rsidR="00805ACA" w:rsidRDefault="009A11D1" w:rsidP="00805ACA">
      <w:r>
        <w:t xml:space="preserve">In RRC_INACTIVE, both CN and RAN eDRX configurations can be </w:t>
      </w:r>
      <w:r w:rsidR="00AA0538">
        <w:t>present</w:t>
      </w:r>
      <w:r>
        <w:t xml:space="preserve">. </w:t>
      </w:r>
      <w:r w:rsidR="00805ACA">
        <w:t xml:space="preserve">According to previous RAN2 agreements, the eDRX cycle and PTW length configurations </w:t>
      </w:r>
      <w:r w:rsidR="0021502C">
        <w:t>for</w:t>
      </w:r>
      <w:r w:rsidR="00805ACA">
        <w:t xml:space="preserve"> CN and RAN can be different. It was further agreed that when the CN and RAN paging coincide in the same PH, the PTW starting locations will be the same. Two potential cases can be identified with this restriction:</w:t>
      </w:r>
    </w:p>
    <w:p w14:paraId="7C667A71" w14:textId="4C604948" w:rsidR="00805ACA" w:rsidRDefault="00AA0538" w:rsidP="00805ACA">
      <w:pPr>
        <w:pStyle w:val="ListParagraph"/>
        <w:numPr>
          <w:ilvl w:val="0"/>
          <w:numId w:val="36"/>
        </w:numPr>
      </w:pPr>
      <w:r>
        <w:t xml:space="preserve">RAN </w:t>
      </w:r>
      <w:r w:rsidR="00805ACA">
        <w:t xml:space="preserve">PTW length is &lt; the </w:t>
      </w:r>
      <w:r>
        <w:t>CN PTW length</w:t>
      </w:r>
    </w:p>
    <w:p w14:paraId="027436C4" w14:textId="6D7D75AE" w:rsidR="00805ACA" w:rsidRDefault="00AA0538" w:rsidP="00805ACA">
      <w:pPr>
        <w:pStyle w:val="ListParagraph"/>
        <w:numPr>
          <w:ilvl w:val="0"/>
          <w:numId w:val="36"/>
        </w:numPr>
      </w:pPr>
      <w:r>
        <w:t xml:space="preserve">RAN </w:t>
      </w:r>
      <w:r w:rsidR="00805ACA">
        <w:t xml:space="preserve">PTW length is &gt; the </w:t>
      </w:r>
      <w:r>
        <w:t>CN PTW length</w:t>
      </w:r>
    </w:p>
    <w:p w14:paraId="3F65BE77" w14:textId="77777777" w:rsidR="00805ACA" w:rsidRDefault="00805ACA" w:rsidP="00805ACA">
      <w:r>
        <w:t xml:space="preserve">These are illustrated in </w:t>
      </w:r>
      <w:r>
        <w:fldChar w:fldCharType="begin"/>
      </w:r>
      <w:r>
        <w:instrText xml:space="preserve"> REF _Ref77346457 \h </w:instrText>
      </w:r>
      <w:r>
        <w:fldChar w:fldCharType="separate"/>
      </w:r>
      <w:r w:rsidR="00A528E6">
        <w:t xml:space="preserve">Figure </w:t>
      </w:r>
      <w:r w:rsidR="00A528E6">
        <w:rPr>
          <w:noProof/>
        </w:rPr>
        <w:t>3</w:t>
      </w:r>
      <w:r>
        <w:fldChar w:fldCharType="end"/>
      </w:r>
      <w:r>
        <w:t xml:space="preserve"> and </w:t>
      </w:r>
      <w:r>
        <w:fldChar w:fldCharType="begin"/>
      </w:r>
      <w:r>
        <w:instrText xml:space="preserve"> REF _Ref77346467 \h </w:instrText>
      </w:r>
      <w:r>
        <w:fldChar w:fldCharType="separate"/>
      </w:r>
      <w:r w:rsidR="00A528E6">
        <w:t xml:space="preserve">Figure </w:t>
      </w:r>
      <w:r w:rsidR="00A528E6">
        <w:rPr>
          <w:noProof/>
        </w:rPr>
        <w:t>4</w:t>
      </w:r>
      <w:r>
        <w:fldChar w:fldCharType="end"/>
      </w:r>
      <w:r>
        <w:t xml:space="preserve"> below (Note: In the figures, eDRX cycle for RAN is assumed to be smaller than the eDRX cycle for CN, but the alternative is also possible, i.e. eDRX cycle for RAN can be larger than for CN).</w:t>
      </w:r>
    </w:p>
    <w:p w14:paraId="3D48BD17" w14:textId="77777777" w:rsidR="00805ACA" w:rsidRDefault="00805ACA" w:rsidP="00805ACA">
      <w:pPr>
        <w:keepNext/>
        <w:jc w:val="center"/>
      </w:pPr>
      <w:r w:rsidRPr="007E75DA">
        <w:rPr>
          <w:noProof/>
          <w:lang w:val="en-US"/>
        </w:rPr>
        <w:drawing>
          <wp:inline distT="0" distB="0" distL="0" distR="0" wp14:anchorId="1ACFAECA" wp14:editId="2C7131B5">
            <wp:extent cx="4786685" cy="14153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9893" cy="1425184"/>
                    </a:xfrm>
                    <a:prstGeom prst="rect">
                      <a:avLst/>
                    </a:prstGeom>
                    <a:noFill/>
                    <a:ln>
                      <a:noFill/>
                    </a:ln>
                  </pic:spPr>
                </pic:pic>
              </a:graphicData>
            </a:graphic>
          </wp:inline>
        </w:drawing>
      </w:r>
    </w:p>
    <w:p w14:paraId="2A8AEE61" w14:textId="54B7E94C" w:rsidR="00805ACA" w:rsidRDefault="00805ACA" w:rsidP="00805ACA">
      <w:pPr>
        <w:pStyle w:val="Caption"/>
        <w:jc w:val="center"/>
      </w:pPr>
      <w:bookmarkStart w:id="7" w:name="_Ref77346457"/>
      <w:r>
        <w:t xml:space="preserve">Figure </w:t>
      </w:r>
      <w:r w:rsidR="00284FF3">
        <w:rPr>
          <w:noProof/>
        </w:rPr>
        <w:fldChar w:fldCharType="begin"/>
      </w:r>
      <w:r w:rsidR="00284FF3">
        <w:rPr>
          <w:noProof/>
        </w:rPr>
        <w:instrText xml:space="preserve"> SEQ Figure \* ARABIC </w:instrText>
      </w:r>
      <w:r w:rsidR="00284FF3">
        <w:rPr>
          <w:noProof/>
        </w:rPr>
        <w:fldChar w:fldCharType="separate"/>
      </w:r>
      <w:r w:rsidR="00F166D6">
        <w:rPr>
          <w:noProof/>
        </w:rPr>
        <w:t>3</w:t>
      </w:r>
      <w:r w:rsidR="00284FF3">
        <w:rPr>
          <w:noProof/>
        </w:rPr>
        <w:fldChar w:fldCharType="end"/>
      </w:r>
      <w:bookmarkEnd w:id="7"/>
      <w:r>
        <w:t xml:space="preserve"> </w:t>
      </w:r>
      <w:r w:rsidR="00821321">
        <w:t xml:space="preserve">Example: </w:t>
      </w:r>
      <w:r w:rsidR="00AA0538">
        <w:t xml:space="preserve">RAN </w:t>
      </w:r>
      <w:r>
        <w:t xml:space="preserve">PTW length &lt; </w:t>
      </w:r>
      <w:r w:rsidR="00AA0538">
        <w:t>CN PTW length</w:t>
      </w:r>
    </w:p>
    <w:p w14:paraId="2EE7BC9B" w14:textId="77777777" w:rsidR="00805ACA" w:rsidRDefault="00805ACA" w:rsidP="00805ACA"/>
    <w:p w14:paraId="0B3B5716" w14:textId="77777777" w:rsidR="00805ACA" w:rsidRDefault="00805ACA" w:rsidP="00805ACA">
      <w:pPr>
        <w:keepNext/>
        <w:jc w:val="center"/>
      </w:pPr>
      <w:r w:rsidRPr="007E75DA">
        <w:rPr>
          <w:noProof/>
          <w:lang w:val="en-US"/>
        </w:rPr>
        <w:drawing>
          <wp:inline distT="0" distB="0" distL="0" distR="0" wp14:anchorId="0D8CBAAF" wp14:editId="6AE27B73">
            <wp:extent cx="4850296" cy="143417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9054" cy="1472246"/>
                    </a:xfrm>
                    <a:prstGeom prst="rect">
                      <a:avLst/>
                    </a:prstGeom>
                    <a:noFill/>
                    <a:ln>
                      <a:noFill/>
                    </a:ln>
                  </pic:spPr>
                </pic:pic>
              </a:graphicData>
            </a:graphic>
          </wp:inline>
        </w:drawing>
      </w:r>
    </w:p>
    <w:p w14:paraId="7E88931F" w14:textId="628C5EEC" w:rsidR="00805ACA" w:rsidRDefault="00805ACA" w:rsidP="00805ACA">
      <w:pPr>
        <w:pStyle w:val="Caption"/>
        <w:jc w:val="center"/>
      </w:pPr>
      <w:bookmarkStart w:id="8" w:name="_Ref77346467"/>
      <w:r>
        <w:t xml:space="preserve">Figure </w:t>
      </w:r>
      <w:r w:rsidR="00284FF3">
        <w:rPr>
          <w:noProof/>
        </w:rPr>
        <w:fldChar w:fldCharType="begin"/>
      </w:r>
      <w:r w:rsidR="00284FF3">
        <w:rPr>
          <w:noProof/>
        </w:rPr>
        <w:instrText xml:space="preserve"> SEQ Figure \* ARABIC </w:instrText>
      </w:r>
      <w:r w:rsidR="00284FF3">
        <w:rPr>
          <w:noProof/>
        </w:rPr>
        <w:fldChar w:fldCharType="separate"/>
      </w:r>
      <w:r w:rsidR="00F166D6">
        <w:rPr>
          <w:noProof/>
        </w:rPr>
        <w:t>4</w:t>
      </w:r>
      <w:r w:rsidR="00284FF3">
        <w:rPr>
          <w:noProof/>
        </w:rPr>
        <w:fldChar w:fldCharType="end"/>
      </w:r>
      <w:bookmarkEnd w:id="8"/>
      <w:r>
        <w:t xml:space="preserve"> </w:t>
      </w:r>
      <w:r w:rsidR="00821321">
        <w:t xml:space="preserve">Example: </w:t>
      </w:r>
      <w:r w:rsidR="00AA0538">
        <w:t xml:space="preserve">RAN </w:t>
      </w:r>
      <w:r>
        <w:t xml:space="preserve">PTW length &gt; </w:t>
      </w:r>
      <w:r w:rsidR="00AA0538">
        <w:t xml:space="preserve">CN </w:t>
      </w:r>
      <w:r>
        <w:t>PTW le</w:t>
      </w:r>
      <w:r w:rsidR="00AA0538">
        <w:t>ngth</w:t>
      </w:r>
    </w:p>
    <w:p w14:paraId="58810BF0" w14:textId="6F2C0D08" w:rsidR="00805ACA" w:rsidRDefault="00805ACA" w:rsidP="00805ACA">
      <w:r>
        <w:t>Inspection of the LTE equation for PTW_start (</w:t>
      </w:r>
      <w:r w:rsidRPr="00805ACA">
        <w:rPr>
          <w:i/>
        </w:rPr>
        <w:t>Eq 2</w:t>
      </w:r>
      <w:r>
        <w:t xml:space="preserve">) reveals that, if a similar </w:t>
      </w:r>
      <w:r w:rsidR="00311F9B">
        <w:t>equation</w:t>
      </w:r>
      <w:r>
        <w:t xml:space="preserve"> is used for calculating PTW_start in RedCap (Options 2 and 3 in Proposal </w:t>
      </w:r>
      <w:r w:rsidRPr="00805ACA">
        <w:t>1</w:t>
      </w:r>
      <w:r>
        <w:t>), the</w:t>
      </w:r>
      <w:r w:rsidR="009A11D1">
        <w:t xml:space="preserve"> same</w:t>
      </w:r>
      <w:r>
        <w:t xml:space="preserve"> T</w:t>
      </w:r>
      <w:r>
        <w:rPr>
          <w:vertAlign w:val="subscript"/>
        </w:rPr>
        <w:t>eDRX,</w:t>
      </w:r>
      <w:r w:rsidRPr="00805ACA">
        <w:rPr>
          <w:vertAlign w:val="subscript"/>
        </w:rPr>
        <w:t>H</w:t>
      </w:r>
      <w:r>
        <w:t xml:space="preserve"> value </w:t>
      </w:r>
      <w:r w:rsidR="009A11D1">
        <w:t xml:space="preserve">should be used </w:t>
      </w:r>
      <w:r>
        <w:t xml:space="preserve">in the equation for </w:t>
      </w:r>
      <w:r w:rsidR="009A11D1">
        <w:t xml:space="preserve">determining </w:t>
      </w:r>
      <w:r>
        <w:t>CN and RAN PTW</w:t>
      </w:r>
      <w:r w:rsidR="0039316F">
        <w:t>_start position</w:t>
      </w:r>
      <w:r>
        <w:t>s.</w:t>
      </w:r>
    </w:p>
    <w:p w14:paraId="69B3E3CE" w14:textId="06DC73F8" w:rsidR="00805ACA" w:rsidRPr="00805ACA" w:rsidRDefault="00805ACA" w:rsidP="00805ACA">
      <w:pPr>
        <w:rPr>
          <w:b/>
        </w:rPr>
      </w:pPr>
      <w:r>
        <w:rPr>
          <w:b/>
        </w:rPr>
        <w:t>Observation</w:t>
      </w:r>
      <w:r w:rsidR="00FD43FD">
        <w:rPr>
          <w:b/>
        </w:rPr>
        <w:t xml:space="preserve"> 1</w:t>
      </w:r>
      <w:r w:rsidRPr="00805ACA">
        <w:rPr>
          <w:b/>
        </w:rPr>
        <w:t xml:space="preserve">: If PTW_start positions </w:t>
      </w:r>
      <w:r>
        <w:rPr>
          <w:b/>
        </w:rPr>
        <w:t xml:space="preserve">in RedCap </w:t>
      </w:r>
      <w:r w:rsidRPr="00805ACA">
        <w:rPr>
          <w:b/>
        </w:rPr>
        <w:t>are determined based on a</w:t>
      </w:r>
      <w:r w:rsidR="00B2238C">
        <w:rPr>
          <w:b/>
        </w:rPr>
        <w:t>n</w:t>
      </w:r>
      <w:r w:rsidRPr="00805ACA">
        <w:rPr>
          <w:b/>
        </w:rPr>
        <w:t xml:space="preserve"> </w:t>
      </w:r>
      <w:r w:rsidR="00B2238C">
        <w:rPr>
          <w:b/>
        </w:rPr>
        <w:t>equation</w:t>
      </w:r>
      <w:r w:rsidRPr="00805ACA">
        <w:rPr>
          <w:b/>
        </w:rPr>
        <w:t xml:space="preserve"> as in LTE, the</w:t>
      </w:r>
      <w:r w:rsidR="009A11D1">
        <w:rPr>
          <w:b/>
        </w:rPr>
        <w:t xml:space="preserve"> same</w:t>
      </w:r>
      <w:r w:rsidRPr="00805ACA">
        <w:rPr>
          <w:b/>
        </w:rPr>
        <w:t xml:space="preserve"> T</w:t>
      </w:r>
      <w:r w:rsidR="0039316F">
        <w:rPr>
          <w:b/>
          <w:vertAlign w:val="subscript"/>
        </w:rPr>
        <w:t>eDRX,</w:t>
      </w:r>
      <w:r w:rsidRPr="00805ACA">
        <w:rPr>
          <w:b/>
          <w:vertAlign w:val="subscript"/>
        </w:rPr>
        <w:t>H</w:t>
      </w:r>
      <w:r w:rsidRPr="00805ACA">
        <w:rPr>
          <w:b/>
        </w:rPr>
        <w:t xml:space="preserve"> value should be </w:t>
      </w:r>
      <w:r w:rsidR="009A11D1">
        <w:rPr>
          <w:b/>
        </w:rPr>
        <w:t>used</w:t>
      </w:r>
      <w:r w:rsidRPr="00805ACA">
        <w:rPr>
          <w:b/>
        </w:rPr>
        <w:t xml:space="preserve"> </w:t>
      </w:r>
      <w:r w:rsidR="0039316F">
        <w:rPr>
          <w:b/>
        </w:rPr>
        <w:t>when determining</w:t>
      </w:r>
      <w:r w:rsidRPr="00805ACA">
        <w:rPr>
          <w:b/>
        </w:rPr>
        <w:t xml:space="preserve"> CN and RAN PTW</w:t>
      </w:r>
      <w:r w:rsidR="0039316F">
        <w:rPr>
          <w:b/>
        </w:rPr>
        <w:t>_start position</w:t>
      </w:r>
      <w:r w:rsidRPr="00805ACA">
        <w:rPr>
          <w:b/>
        </w:rPr>
        <w:t>s.</w:t>
      </w:r>
    </w:p>
    <w:p w14:paraId="35374C13" w14:textId="77777777" w:rsidR="00805ACA" w:rsidRDefault="00805ACA" w:rsidP="00805ACA">
      <w:r>
        <w:t>Considering that CN is not aware of transitioning from RRC_IDLE to RRC_INACTIVE, and also the T</w:t>
      </w:r>
      <w:r>
        <w:rPr>
          <w:vertAlign w:val="subscript"/>
        </w:rPr>
        <w:t>eDRX,</w:t>
      </w:r>
      <w:r w:rsidRPr="00805ACA">
        <w:rPr>
          <w:vertAlign w:val="subscript"/>
        </w:rPr>
        <w:t>H</w:t>
      </w:r>
      <w:r>
        <w:t xml:space="preserve"> value used by RAN, the common T</w:t>
      </w:r>
      <w:r>
        <w:rPr>
          <w:vertAlign w:val="subscript"/>
        </w:rPr>
        <w:t>eDRX,</w:t>
      </w:r>
      <w:r w:rsidRPr="00805ACA">
        <w:rPr>
          <w:vertAlign w:val="subscript"/>
        </w:rPr>
        <w:t>H</w:t>
      </w:r>
      <w:r>
        <w:t xml:space="preserve"> value in PTW_start equation should be the CN value.</w:t>
      </w:r>
    </w:p>
    <w:p w14:paraId="256E4082" w14:textId="5259B354" w:rsidR="00805ACA" w:rsidRDefault="00805ACA" w:rsidP="00805ACA">
      <w:r w:rsidRPr="00805ACA">
        <w:rPr>
          <w:b/>
        </w:rPr>
        <w:t>Proposal</w:t>
      </w:r>
      <w:r w:rsidR="00FD43FD">
        <w:rPr>
          <w:b/>
        </w:rPr>
        <w:t xml:space="preserve"> 2</w:t>
      </w:r>
      <w:r w:rsidRPr="00805ACA">
        <w:rPr>
          <w:b/>
        </w:rPr>
        <w:t xml:space="preserve">: If PTW_start positions </w:t>
      </w:r>
      <w:r>
        <w:rPr>
          <w:b/>
        </w:rPr>
        <w:t xml:space="preserve">in RedCap </w:t>
      </w:r>
      <w:r w:rsidRPr="00805ACA">
        <w:rPr>
          <w:b/>
        </w:rPr>
        <w:t>are determined based on a</w:t>
      </w:r>
      <w:r w:rsidR="00B2238C">
        <w:rPr>
          <w:b/>
        </w:rPr>
        <w:t>n equation</w:t>
      </w:r>
      <w:r w:rsidRPr="00805ACA">
        <w:rPr>
          <w:b/>
        </w:rPr>
        <w:t xml:space="preserve"> </w:t>
      </w:r>
      <w:r w:rsidR="00817FAE">
        <w:rPr>
          <w:b/>
        </w:rPr>
        <w:t>similar to</w:t>
      </w:r>
      <w:r w:rsidRPr="00805ACA">
        <w:rPr>
          <w:b/>
        </w:rPr>
        <w:t xml:space="preserve"> LTE,</w:t>
      </w:r>
      <w:r>
        <w:rPr>
          <w:b/>
        </w:rPr>
        <w:t xml:space="preserve"> the </w:t>
      </w:r>
      <w:r w:rsidRPr="00805ACA">
        <w:rPr>
          <w:b/>
        </w:rPr>
        <w:t>T</w:t>
      </w:r>
      <w:r w:rsidRPr="00805ACA">
        <w:rPr>
          <w:b/>
          <w:vertAlign w:val="subscript"/>
        </w:rPr>
        <w:t>eDRX_H</w:t>
      </w:r>
      <w:r w:rsidRPr="00805ACA">
        <w:rPr>
          <w:b/>
        </w:rPr>
        <w:t xml:space="preserve"> value</w:t>
      </w:r>
      <w:r>
        <w:rPr>
          <w:b/>
        </w:rPr>
        <w:t xml:space="preserve"> configured by CN should be used in the PTW_start equation for both CN and RAN PTWs.</w:t>
      </w:r>
    </w:p>
    <w:p w14:paraId="11AD7945" w14:textId="6BADDAE4" w:rsidR="00805ACA" w:rsidRDefault="00805ACA" w:rsidP="00805ACA">
      <w:r>
        <w:t xml:space="preserve">On the other hand, if the PTW_start position is determined by network configuration (Option 1 in Proposal 1), the </w:t>
      </w:r>
      <w:r w:rsidR="00A54356">
        <w:t>configuration</w:t>
      </w:r>
      <w:r>
        <w:t xml:space="preserve"> by CN should be used for</w:t>
      </w:r>
      <w:r w:rsidR="00A54356">
        <w:t xml:space="preserve"> calculating</w:t>
      </w:r>
      <w:r>
        <w:t xml:space="preserve"> both CN and RAN PTW</w:t>
      </w:r>
      <w:r w:rsidR="00A54356">
        <w:t xml:space="preserve"> start position</w:t>
      </w:r>
      <w:r>
        <w:t>s.</w:t>
      </w:r>
    </w:p>
    <w:p w14:paraId="24A7C37A" w14:textId="56418D3C" w:rsidR="00805ACA" w:rsidRPr="001C3AFF" w:rsidRDefault="00805ACA" w:rsidP="00805ACA">
      <w:r w:rsidRPr="00805ACA">
        <w:rPr>
          <w:b/>
        </w:rPr>
        <w:t>Proposal</w:t>
      </w:r>
      <w:r w:rsidR="00FD43FD">
        <w:rPr>
          <w:b/>
        </w:rPr>
        <w:t xml:space="preserve"> 3</w:t>
      </w:r>
      <w:r w:rsidRPr="00805ACA">
        <w:rPr>
          <w:b/>
        </w:rPr>
        <w:t xml:space="preserve">: If PTW_start positions </w:t>
      </w:r>
      <w:r>
        <w:rPr>
          <w:b/>
        </w:rPr>
        <w:t xml:space="preserve">in RedCap </w:t>
      </w:r>
      <w:r w:rsidRPr="00805ACA">
        <w:rPr>
          <w:b/>
        </w:rPr>
        <w:t xml:space="preserve">are </w:t>
      </w:r>
      <w:r>
        <w:rPr>
          <w:b/>
        </w:rPr>
        <w:t>configured by the network</w:t>
      </w:r>
      <w:r w:rsidRPr="00805ACA">
        <w:rPr>
          <w:b/>
        </w:rPr>
        <w:t>,</w:t>
      </w:r>
      <w:r>
        <w:rPr>
          <w:b/>
        </w:rPr>
        <w:t xml:space="preserve"> the </w:t>
      </w:r>
      <w:r w:rsidR="00A54356">
        <w:rPr>
          <w:b/>
        </w:rPr>
        <w:t>configuration</w:t>
      </w:r>
      <w:r>
        <w:rPr>
          <w:b/>
        </w:rPr>
        <w:t xml:space="preserve"> by CN should be used </w:t>
      </w:r>
      <w:r w:rsidR="00EA1D60">
        <w:rPr>
          <w:b/>
        </w:rPr>
        <w:t>for</w:t>
      </w:r>
      <w:r>
        <w:rPr>
          <w:b/>
        </w:rPr>
        <w:t xml:space="preserve"> </w:t>
      </w:r>
      <w:r w:rsidR="00A54356">
        <w:rPr>
          <w:b/>
        </w:rPr>
        <w:t xml:space="preserve">calculating </w:t>
      </w:r>
      <w:r>
        <w:rPr>
          <w:b/>
        </w:rPr>
        <w:t>both CN and RAN PTW</w:t>
      </w:r>
      <w:r w:rsidR="00A54356">
        <w:rPr>
          <w:b/>
        </w:rPr>
        <w:t xml:space="preserve"> start position</w:t>
      </w:r>
      <w:r w:rsidR="00FD76A0">
        <w:rPr>
          <w:b/>
        </w:rPr>
        <w:t>s</w:t>
      </w:r>
      <w:r w:rsidR="00FF6FE1">
        <w:rPr>
          <w:b/>
        </w:rPr>
        <w:t xml:space="preserve"> </w:t>
      </w:r>
      <w:r>
        <w:rPr>
          <w:b/>
        </w:rPr>
        <w:t xml:space="preserve">(i.e. no need for RAN to </w:t>
      </w:r>
      <w:r w:rsidR="00A54356">
        <w:rPr>
          <w:b/>
        </w:rPr>
        <w:t>provide a separate configuration</w:t>
      </w:r>
      <w:r>
        <w:rPr>
          <w:b/>
        </w:rPr>
        <w:t>).</w:t>
      </w:r>
    </w:p>
    <w:p w14:paraId="25969BA7" w14:textId="77777777" w:rsidR="00805ACA" w:rsidRDefault="00805ACA" w:rsidP="000A79DF"/>
    <w:p w14:paraId="611FB505" w14:textId="0054B278" w:rsidR="002843A1" w:rsidRDefault="00A54356" w:rsidP="002843A1">
      <w:pPr>
        <w:pStyle w:val="Heading2"/>
      </w:pPr>
      <w:r>
        <w:lastRenderedPageBreak/>
        <w:t>2.3</w:t>
      </w:r>
      <w:r w:rsidR="002843A1">
        <w:t xml:space="preserve"> </w:t>
      </w:r>
      <w:r w:rsidR="00623F0A">
        <w:t>Determining</w:t>
      </w:r>
      <w:r w:rsidR="002D3AA4">
        <w:t xml:space="preserve"> </w:t>
      </w:r>
      <w:r w:rsidR="00725BE8">
        <w:t xml:space="preserve">the </w:t>
      </w:r>
      <w:r w:rsidR="00B8114D">
        <w:t>DRX cycle</w:t>
      </w:r>
      <w:r w:rsidR="002D3AA4">
        <w:t xml:space="preserve"> of the UE</w:t>
      </w:r>
      <w:r w:rsidR="00623F0A">
        <w:t xml:space="preserve"> (T) </w:t>
      </w:r>
      <w:r w:rsidR="00CC15E2">
        <w:t>in RRC_INACTIVE</w:t>
      </w:r>
    </w:p>
    <w:p w14:paraId="71A173C7" w14:textId="7123EC07" w:rsidR="00725BE8" w:rsidRDefault="00725BE8" w:rsidP="00725BE8">
      <w:r>
        <w:t xml:space="preserve">We list below different combinations of eDRX cycle values for CN and RAN, with the assumption that the eDRX cycle for RAN is shorter than the eDRX cycle for CN. As the CN may not be aware of the eDRX cycle for RAN, RAN cannot relax the UE paging monitoring by itself. Therefore it is meaningless for RAN to select an eDRX cycle value </w:t>
      </w:r>
      <w:r w:rsidR="00FD2605">
        <w:t>longer</w:t>
      </w:r>
      <w:r>
        <w:t xml:space="preserve"> than that of CN.</w:t>
      </w:r>
    </w:p>
    <w:p w14:paraId="5CFD376F" w14:textId="77777777" w:rsidR="006A7BC1" w:rsidRDefault="006A7BC1" w:rsidP="00725BE8"/>
    <w:p w14:paraId="4E0E8FEB" w14:textId="3C934347" w:rsidR="00641CD5" w:rsidRDefault="00641CD5" w:rsidP="00641CD5">
      <w:pPr>
        <w:pStyle w:val="Heading3"/>
      </w:pPr>
      <w:r>
        <w:t xml:space="preserve">2.3.1 When </w:t>
      </w:r>
      <w:r w:rsidR="00A83CEB">
        <w:t xml:space="preserve">CN </w:t>
      </w:r>
      <w:r>
        <w:t xml:space="preserve">eDRX cycle is </w:t>
      </w:r>
      <w:r>
        <w:rPr>
          <w:rFonts w:cs="Arial"/>
        </w:rPr>
        <w:t>≤</w:t>
      </w:r>
      <w:r>
        <w:t xml:space="preserve"> 10.24 s and eDRX is not configured</w:t>
      </w:r>
      <w:r w:rsidR="00A83CEB">
        <w:t xml:space="preserve"> by RAN</w:t>
      </w:r>
    </w:p>
    <w:p w14:paraId="21B172B9" w14:textId="77777777" w:rsidR="00B57341" w:rsidRDefault="00641CD5" w:rsidP="00641CD5">
      <w:r>
        <w:t>In LTE, if eDRX value of 5.12 s is configured for the UE, then the DRX cycle for the UE (T)</w:t>
      </w:r>
      <w:r w:rsidRPr="008950EE">
        <w:rPr>
          <w:lang w:eastAsia="ko-KR"/>
        </w:rPr>
        <w:t xml:space="preserve"> is determined by the sh</w:t>
      </w:r>
      <w:r>
        <w:rPr>
          <w:lang w:eastAsia="ko-KR"/>
        </w:rPr>
        <w:t>ortest of the RAN paging cycle</w:t>
      </w:r>
      <w:r w:rsidRPr="008950EE">
        <w:rPr>
          <w:lang w:eastAsia="ko-KR"/>
        </w:rPr>
        <w:t xml:space="preserve"> and 512 radio frames</w:t>
      </w:r>
      <w:r>
        <w:t>. In LTE, 5.12 s is the only eDRX cycle val</w:t>
      </w:r>
      <w:r w:rsidR="00B57341">
        <w:t>ue where PTW is not applicable.</w:t>
      </w:r>
    </w:p>
    <w:p w14:paraId="3DD87799" w14:textId="78897A91" w:rsidR="00641CD5" w:rsidRDefault="00641CD5" w:rsidP="00641CD5">
      <w:r>
        <w:t xml:space="preserve">In our understanding, the same principle </w:t>
      </w:r>
      <w:r w:rsidR="00B57341">
        <w:t>is intended</w:t>
      </w:r>
      <w:r>
        <w:t xml:space="preserve"> in RedCap: if the PTW is not used for an eDRX cycle value, then the UE should monitor the paging occasions based on the shortest of the eDRX cycle value and the UE specific DRX value configured by RRC</w:t>
      </w:r>
      <w:r w:rsidR="00B57341">
        <w:t xml:space="preserve"> (i.e. RAN paging cycle)</w:t>
      </w:r>
      <w:r>
        <w:t>. In RedCap, PTW is not used for eDRX cycle of 2.56, 5.12, and 10.24 s according to previous agreements.</w:t>
      </w:r>
      <w:r w:rsidR="00B57341">
        <w:t xml:space="preserve"> The range for RAN paging cycle is 32 – 256 radio frames, i.e. 0.32 – 2.56 s. For I-DRX, the range i</w:t>
      </w:r>
      <w:r w:rsidR="00A83CEB">
        <w:t>s not expected to go above 2.56</w:t>
      </w:r>
      <w:r w:rsidR="00B57341">
        <w:t>s, as it would then overlap with the eDRX cycle range (i.e. eDRX would be configured instead of I-DRX). Therefore, UE specific DRX value configured by RRC is always ≤ eDRX cycle, and the UE should follow the UE specific DRX value configured by RRC in this case.</w:t>
      </w:r>
      <w:r w:rsidR="00F77E02">
        <w:t xml:space="preserve"> Note that the UE specific DRX value is a mandatory field in RRC_INACTIVE configuration.</w:t>
      </w:r>
    </w:p>
    <w:p w14:paraId="63CDECD4" w14:textId="484CD84B" w:rsidR="00641CD5" w:rsidRDefault="00641CD5" w:rsidP="00402D80">
      <w:pPr>
        <w:spacing w:after="0"/>
        <w:rPr>
          <w:b/>
        </w:rPr>
      </w:pPr>
      <w:r w:rsidRPr="002D3AA4">
        <w:rPr>
          <w:b/>
        </w:rPr>
        <w:t>Proposal</w:t>
      </w:r>
      <w:r w:rsidR="00FD43FD">
        <w:rPr>
          <w:b/>
        </w:rPr>
        <w:t xml:space="preserve"> 4</w:t>
      </w:r>
      <w:r w:rsidRPr="002D3AA4">
        <w:rPr>
          <w:b/>
        </w:rPr>
        <w:t xml:space="preserve">: </w:t>
      </w:r>
      <w:r>
        <w:rPr>
          <w:b/>
        </w:rPr>
        <w:t>In</w:t>
      </w:r>
      <w:r w:rsidRPr="00F166D6">
        <w:rPr>
          <w:b/>
        </w:rPr>
        <w:t xml:space="preserve"> RRC_INACTIVE</w:t>
      </w:r>
      <w:r>
        <w:rPr>
          <w:b/>
        </w:rPr>
        <w:t xml:space="preserve"> mode, if the</w:t>
      </w:r>
      <w:r w:rsidRPr="002D3AA4">
        <w:rPr>
          <w:b/>
        </w:rPr>
        <w:t xml:space="preserve"> </w:t>
      </w:r>
      <w:r w:rsidR="00A83CEB">
        <w:rPr>
          <w:b/>
        </w:rPr>
        <w:t xml:space="preserve">CN </w:t>
      </w:r>
      <w:r w:rsidRPr="002D3AA4">
        <w:rPr>
          <w:b/>
        </w:rPr>
        <w:t xml:space="preserve">eDRX cycle </w:t>
      </w:r>
      <w:r>
        <w:rPr>
          <w:b/>
        </w:rPr>
        <w:t>is ≤</w:t>
      </w:r>
      <w:r w:rsidRPr="002D3AA4">
        <w:rPr>
          <w:b/>
        </w:rPr>
        <w:t xml:space="preserve"> 10.24 s,</w:t>
      </w:r>
      <w:r>
        <w:rPr>
          <w:b/>
        </w:rPr>
        <w:t xml:space="preserve"> and eDRX is not configured</w:t>
      </w:r>
      <w:r w:rsidR="00A83CEB">
        <w:rPr>
          <w:b/>
        </w:rPr>
        <w:t xml:space="preserve"> by RAN</w:t>
      </w:r>
      <w:r>
        <w:rPr>
          <w:b/>
        </w:rPr>
        <w:t>,</w:t>
      </w:r>
      <w:r w:rsidRPr="002D3AA4">
        <w:rPr>
          <w:b/>
        </w:rPr>
        <w:t xml:space="preserve"> T (DRX cycle of the UE) is </w:t>
      </w:r>
      <w:r w:rsidR="00B57341">
        <w:rPr>
          <w:b/>
        </w:rPr>
        <w:t>equal to</w:t>
      </w:r>
      <w:r>
        <w:rPr>
          <w:b/>
        </w:rPr>
        <w:t>:</w:t>
      </w:r>
    </w:p>
    <w:p w14:paraId="11DB3412" w14:textId="5DE014C4" w:rsidR="00641CD5" w:rsidRDefault="00641CD5" w:rsidP="00402D80">
      <w:pPr>
        <w:pStyle w:val="ListParagraph"/>
        <w:numPr>
          <w:ilvl w:val="0"/>
          <w:numId w:val="41"/>
        </w:numPr>
        <w:spacing w:after="0"/>
        <w:rPr>
          <w:b/>
        </w:rPr>
      </w:pPr>
      <w:r>
        <w:rPr>
          <w:b/>
        </w:rPr>
        <w:t>UE specific DRX value</w:t>
      </w:r>
      <w:r w:rsidR="00F77E02">
        <w:rPr>
          <w:b/>
        </w:rPr>
        <w:t xml:space="preserve"> </w:t>
      </w:r>
      <w:r>
        <w:rPr>
          <w:b/>
        </w:rPr>
        <w:t>configured by RRC</w:t>
      </w:r>
    </w:p>
    <w:p w14:paraId="37217A8B" w14:textId="77777777" w:rsidR="00641CD5" w:rsidRDefault="00641CD5" w:rsidP="00725BE8"/>
    <w:p w14:paraId="72708273" w14:textId="1BEA4875" w:rsidR="00641CD5" w:rsidRDefault="00641CD5" w:rsidP="00641CD5">
      <w:pPr>
        <w:pStyle w:val="Heading3"/>
      </w:pPr>
      <w:r>
        <w:t xml:space="preserve">2.3.2 When </w:t>
      </w:r>
      <w:r w:rsidR="00A83CEB">
        <w:t xml:space="preserve">CN </w:t>
      </w:r>
      <w:r>
        <w:t>eDRX cycle is &gt; 10.24 s and eDRX is not configured</w:t>
      </w:r>
      <w:r w:rsidR="00A83CEB">
        <w:t xml:space="preserve"> by RAN</w:t>
      </w:r>
    </w:p>
    <w:p w14:paraId="6767A934" w14:textId="2F23B3C2" w:rsidR="006315C4" w:rsidRDefault="006315C4" w:rsidP="006315C4">
      <w:r>
        <w:t>In LTE, if eDRX cycle &gt; 5.12 s is configured for the UE, the PTW mechanism applies. In this case, the DRX cycle of the UE (T) during</w:t>
      </w:r>
      <w:r w:rsidR="00BD24DC">
        <w:t xml:space="preserve"> the</w:t>
      </w:r>
      <w:r>
        <w:t xml:space="preserve"> PTW is determined by the shortest of:</w:t>
      </w:r>
    </w:p>
    <w:p w14:paraId="0ED32A8E" w14:textId="02424A05" w:rsidR="006315C4" w:rsidRDefault="006315C4" w:rsidP="006315C4">
      <w:pPr>
        <w:pStyle w:val="ListParagraph"/>
        <w:numPr>
          <w:ilvl w:val="0"/>
          <w:numId w:val="37"/>
        </w:numPr>
      </w:pPr>
      <w:r>
        <w:t>Default paging cycle</w:t>
      </w:r>
    </w:p>
    <w:p w14:paraId="56143AF6" w14:textId="77777777" w:rsidR="006315C4" w:rsidRDefault="006315C4" w:rsidP="006315C4">
      <w:pPr>
        <w:pStyle w:val="ListParagraph"/>
        <w:numPr>
          <w:ilvl w:val="0"/>
          <w:numId w:val="37"/>
        </w:numPr>
      </w:pPr>
      <w:r>
        <w:t>UE specific DRX value (if configured)</w:t>
      </w:r>
    </w:p>
    <w:p w14:paraId="6126E41B" w14:textId="2F5933CA" w:rsidR="006315C4" w:rsidRDefault="006315C4" w:rsidP="006315C4">
      <w:pPr>
        <w:pStyle w:val="ListParagraph"/>
        <w:numPr>
          <w:ilvl w:val="0"/>
          <w:numId w:val="37"/>
        </w:numPr>
      </w:pPr>
      <w:r>
        <w:t>RAN paging cycle</w:t>
      </w:r>
      <w:r w:rsidR="00B57341">
        <w:t xml:space="preserve"> (if configured)</w:t>
      </w:r>
    </w:p>
    <w:p w14:paraId="2C09B980" w14:textId="5C89D7AB" w:rsidR="006315C4" w:rsidRDefault="006315C4" w:rsidP="006315C4">
      <w:r>
        <w:t>Outside</w:t>
      </w:r>
      <w:r w:rsidR="00BD24DC">
        <w:t xml:space="preserve"> the</w:t>
      </w:r>
      <w:r>
        <w:t xml:space="preserve"> PTW, the DRX cycle of the UE is equal to:</w:t>
      </w:r>
    </w:p>
    <w:p w14:paraId="0C1E273D" w14:textId="0C24A15B" w:rsidR="006315C4" w:rsidRDefault="006315C4" w:rsidP="006315C4">
      <w:pPr>
        <w:pStyle w:val="ListParagraph"/>
        <w:numPr>
          <w:ilvl w:val="0"/>
          <w:numId w:val="38"/>
        </w:numPr>
      </w:pPr>
      <w:r>
        <w:t>RAN paging cycle</w:t>
      </w:r>
      <w:r w:rsidR="00B57341">
        <w:t xml:space="preserve"> (if configured)</w:t>
      </w:r>
    </w:p>
    <w:p w14:paraId="7BD40A6D" w14:textId="77777777" w:rsidR="006315C4" w:rsidRDefault="006315C4" w:rsidP="006315C4">
      <w:r>
        <w:t xml:space="preserve">The LTE rules for determining DRX cycle of the UE (T) for RRC_INACTIVE mode are illustrated in </w:t>
      </w:r>
      <w:r>
        <w:fldChar w:fldCharType="begin"/>
      </w:r>
      <w:r>
        <w:instrText xml:space="preserve"> REF _Ref77601386 \h </w:instrText>
      </w:r>
      <w:r>
        <w:fldChar w:fldCharType="separate"/>
      </w:r>
      <w:r>
        <w:t xml:space="preserve">Figure </w:t>
      </w:r>
      <w:r>
        <w:rPr>
          <w:noProof/>
        </w:rPr>
        <w:t>5</w:t>
      </w:r>
      <w:r>
        <w:fldChar w:fldCharType="end"/>
      </w:r>
      <w:r>
        <w:t xml:space="preserve"> below:</w:t>
      </w:r>
    </w:p>
    <w:p w14:paraId="10A0EB71" w14:textId="3BE4A49A" w:rsidR="006315C4" w:rsidRDefault="00B57341" w:rsidP="006315C4">
      <w:pPr>
        <w:keepNext/>
        <w:jc w:val="center"/>
      </w:pPr>
      <w:r w:rsidRPr="00B57341">
        <w:rPr>
          <w:noProof/>
          <w:lang w:val="en-US"/>
        </w:rPr>
        <w:drawing>
          <wp:inline distT="0" distB="0" distL="0" distR="0" wp14:anchorId="641C7ED6" wp14:editId="7FDCBEF4">
            <wp:extent cx="5277600" cy="187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7600" cy="1875600"/>
                    </a:xfrm>
                    <a:prstGeom prst="rect">
                      <a:avLst/>
                    </a:prstGeom>
                    <a:noFill/>
                    <a:ln>
                      <a:noFill/>
                    </a:ln>
                  </pic:spPr>
                </pic:pic>
              </a:graphicData>
            </a:graphic>
          </wp:inline>
        </w:drawing>
      </w:r>
    </w:p>
    <w:p w14:paraId="0874FAA3" w14:textId="77777777" w:rsidR="006315C4" w:rsidRDefault="006315C4" w:rsidP="006315C4">
      <w:pPr>
        <w:pStyle w:val="Caption"/>
        <w:jc w:val="center"/>
      </w:pPr>
      <w:bookmarkStart w:id="9" w:name="_Ref77601386"/>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9"/>
      <w:r>
        <w:t xml:space="preserve"> LTE rules for determining DRX cycle of the UE (T) for RRC_INACTIVE mode</w:t>
      </w:r>
    </w:p>
    <w:p w14:paraId="2BAD5C81" w14:textId="0F75052A" w:rsidR="006315C4" w:rsidRDefault="006315C4" w:rsidP="006315C4">
      <w:r>
        <w:t>In RedCap, when eDRX cycle for CN &gt; 10.24 s, PTW mechanism</w:t>
      </w:r>
      <w:r w:rsidR="00BD24DC">
        <w:t xml:space="preserve"> should be used for CN paging. Following a similar principle as in LTE, w</w:t>
      </w:r>
      <w:r>
        <w:t xml:space="preserve">ithin the PTW, DRX cycle of the UE (T) should be determined by </w:t>
      </w:r>
      <w:r w:rsidR="00BD24DC">
        <w:t>the shortest of</w:t>
      </w:r>
      <w:r>
        <w:t>:</w:t>
      </w:r>
    </w:p>
    <w:p w14:paraId="34C27BAF" w14:textId="77777777" w:rsidR="006315C4" w:rsidRDefault="006315C4" w:rsidP="006315C4">
      <w:pPr>
        <w:pStyle w:val="ListParagraph"/>
        <w:numPr>
          <w:ilvl w:val="0"/>
          <w:numId w:val="37"/>
        </w:numPr>
      </w:pPr>
      <w:r>
        <w:t>Default DRX value</w:t>
      </w:r>
    </w:p>
    <w:p w14:paraId="0943A979" w14:textId="247AED7A" w:rsidR="006315C4" w:rsidRDefault="00B57341" w:rsidP="00B57341">
      <w:pPr>
        <w:pStyle w:val="ListParagraph"/>
        <w:numPr>
          <w:ilvl w:val="0"/>
          <w:numId w:val="37"/>
        </w:numPr>
      </w:pPr>
      <w:r w:rsidRPr="00B57341">
        <w:t>UE specific DRX value(s), if configured by RRC and/or upper layers</w:t>
      </w:r>
    </w:p>
    <w:p w14:paraId="03C92D2D" w14:textId="64E43E27" w:rsidR="006315C4" w:rsidRDefault="006315C4" w:rsidP="006315C4">
      <w:r>
        <w:t xml:space="preserve">Outside PTW, </w:t>
      </w:r>
      <w:r w:rsidR="00B57341">
        <w:t>the UE should monitor PDCCH using the UE specific DRX value configured by RRC (i.e. RAN paging cycle)</w:t>
      </w:r>
      <w:r>
        <w:t>, therefore the DRX cycle should be equal to:</w:t>
      </w:r>
    </w:p>
    <w:p w14:paraId="57D6BCE3" w14:textId="0A844098" w:rsidR="006315C4" w:rsidRDefault="00F77E02" w:rsidP="006315C4">
      <w:pPr>
        <w:pStyle w:val="ListParagraph"/>
        <w:numPr>
          <w:ilvl w:val="0"/>
          <w:numId w:val="42"/>
        </w:numPr>
      </w:pPr>
      <w:r>
        <w:t xml:space="preserve">UE specific DRX value </w:t>
      </w:r>
      <w:r w:rsidR="00B57341">
        <w:t>configured by RRC</w:t>
      </w:r>
    </w:p>
    <w:p w14:paraId="55BCDC26" w14:textId="1C97ECD0" w:rsidR="00C662C8" w:rsidRDefault="00BD24DC" w:rsidP="00402D80">
      <w:pPr>
        <w:spacing w:after="0"/>
        <w:rPr>
          <w:b/>
        </w:rPr>
      </w:pPr>
      <w:r w:rsidRPr="002D3AA4">
        <w:rPr>
          <w:b/>
        </w:rPr>
        <w:t>Proposal</w:t>
      </w:r>
      <w:r w:rsidR="00FD43FD">
        <w:rPr>
          <w:b/>
        </w:rPr>
        <w:t xml:space="preserve"> 5</w:t>
      </w:r>
      <w:r w:rsidRPr="002D3AA4">
        <w:rPr>
          <w:b/>
        </w:rPr>
        <w:t xml:space="preserve">: </w:t>
      </w:r>
      <w:r>
        <w:rPr>
          <w:b/>
        </w:rPr>
        <w:t>In</w:t>
      </w:r>
      <w:r w:rsidRPr="00F166D6">
        <w:rPr>
          <w:b/>
        </w:rPr>
        <w:t xml:space="preserve"> RRC_INACTIVE</w:t>
      </w:r>
      <w:r>
        <w:rPr>
          <w:b/>
        </w:rPr>
        <w:t xml:space="preserve"> mode, if the</w:t>
      </w:r>
      <w:r w:rsidRPr="002D3AA4">
        <w:rPr>
          <w:b/>
        </w:rPr>
        <w:t xml:space="preserve"> </w:t>
      </w:r>
      <w:r w:rsidR="00A83CEB">
        <w:rPr>
          <w:b/>
        </w:rPr>
        <w:t xml:space="preserve">CN </w:t>
      </w:r>
      <w:r w:rsidRPr="002D3AA4">
        <w:rPr>
          <w:b/>
        </w:rPr>
        <w:t xml:space="preserve">eDRX cycle </w:t>
      </w:r>
      <w:r>
        <w:rPr>
          <w:b/>
        </w:rPr>
        <w:t>is &gt;</w:t>
      </w:r>
      <w:r w:rsidRPr="002D3AA4">
        <w:rPr>
          <w:b/>
        </w:rPr>
        <w:t xml:space="preserve"> 10.24 s,</w:t>
      </w:r>
      <w:r>
        <w:rPr>
          <w:b/>
        </w:rPr>
        <w:t xml:space="preserve"> and</w:t>
      </w:r>
      <w:r w:rsidR="00C662C8">
        <w:rPr>
          <w:b/>
        </w:rPr>
        <w:t xml:space="preserve"> eDRX is not configured</w:t>
      </w:r>
      <w:r w:rsidR="00A83CEB">
        <w:rPr>
          <w:b/>
        </w:rPr>
        <w:t xml:space="preserve"> by RAN</w:t>
      </w:r>
      <w:r w:rsidR="00C662C8">
        <w:rPr>
          <w:b/>
        </w:rPr>
        <w:t>:</w:t>
      </w:r>
    </w:p>
    <w:p w14:paraId="08897B8A" w14:textId="31E0EF29" w:rsidR="00641CD5" w:rsidRDefault="00C662C8" w:rsidP="00402D80">
      <w:pPr>
        <w:spacing w:after="0"/>
        <w:rPr>
          <w:b/>
        </w:rPr>
      </w:pPr>
      <w:r>
        <w:rPr>
          <w:b/>
        </w:rPr>
        <w:lastRenderedPageBreak/>
        <w:tab/>
        <w:t>D</w:t>
      </w:r>
      <w:r w:rsidR="00BD24DC">
        <w:rPr>
          <w:b/>
        </w:rPr>
        <w:t xml:space="preserve">uring the </w:t>
      </w:r>
      <w:r w:rsidR="00A83CEB">
        <w:rPr>
          <w:b/>
        </w:rPr>
        <w:t xml:space="preserve">CN </w:t>
      </w:r>
      <w:r w:rsidR="00BD24DC">
        <w:rPr>
          <w:b/>
        </w:rPr>
        <w:t xml:space="preserve">PTW, </w:t>
      </w:r>
      <w:r w:rsidR="00BD24DC" w:rsidRPr="00F166D6">
        <w:rPr>
          <w:b/>
        </w:rPr>
        <w:t>T (DRX cycle of the UE) is determined by the shortest of</w:t>
      </w:r>
      <w:r w:rsidR="00BD24DC">
        <w:rPr>
          <w:b/>
        </w:rPr>
        <w:t>:</w:t>
      </w:r>
    </w:p>
    <w:p w14:paraId="0D99C5DA" w14:textId="77777777" w:rsidR="00BD24DC" w:rsidRPr="00BD24DC" w:rsidRDefault="00BD24DC" w:rsidP="00402D80">
      <w:pPr>
        <w:pStyle w:val="ListParagraph"/>
        <w:numPr>
          <w:ilvl w:val="1"/>
          <w:numId w:val="37"/>
        </w:numPr>
        <w:spacing w:after="0"/>
        <w:rPr>
          <w:b/>
        </w:rPr>
      </w:pPr>
      <w:r w:rsidRPr="00BD24DC">
        <w:rPr>
          <w:b/>
        </w:rPr>
        <w:t>Default DRX value</w:t>
      </w:r>
    </w:p>
    <w:p w14:paraId="5E54A563" w14:textId="4BC261E4" w:rsidR="00BD24DC" w:rsidRPr="00BD24DC" w:rsidRDefault="00BD24DC" w:rsidP="00402D80">
      <w:pPr>
        <w:pStyle w:val="ListParagraph"/>
        <w:numPr>
          <w:ilvl w:val="1"/>
          <w:numId w:val="37"/>
        </w:numPr>
        <w:spacing w:after="0"/>
        <w:rPr>
          <w:b/>
        </w:rPr>
      </w:pPr>
      <w:r w:rsidRPr="00BD24DC">
        <w:rPr>
          <w:b/>
        </w:rPr>
        <w:t>UE specific DRX value(s), if configured by RRC and/or upper layers</w:t>
      </w:r>
    </w:p>
    <w:p w14:paraId="08BE38CB" w14:textId="4EC91FD9" w:rsidR="00BD24DC" w:rsidRDefault="00C662C8" w:rsidP="00402D80">
      <w:pPr>
        <w:spacing w:after="0"/>
        <w:rPr>
          <w:b/>
        </w:rPr>
      </w:pPr>
      <w:r>
        <w:rPr>
          <w:b/>
        </w:rPr>
        <w:tab/>
        <w:t>O</w:t>
      </w:r>
      <w:r w:rsidR="00BD24DC">
        <w:rPr>
          <w:b/>
        </w:rPr>
        <w:t xml:space="preserve">utside the </w:t>
      </w:r>
      <w:r w:rsidR="00A83CEB">
        <w:rPr>
          <w:b/>
        </w:rPr>
        <w:t xml:space="preserve">CN </w:t>
      </w:r>
      <w:r w:rsidR="00BD24DC">
        <w:rPr>
          <w:b/>
        </w:rPr>
        <w:t xml:space="preserve">PTW, </w:t>
      </w:r>
      <w:r>
        <w:rPr>
          <w:b/>
        </w:rPr>
        <w:t xml:space="preserve">T </w:t>
      </w:r>
      <w:r w:rsidR="00BD24DC" w:rsidRPr="00F166D6">
        <w:rPr>
          <w:b/>
        </w:rPr>
        <w:t xml:space="preserve">is </w:t>
      </w:r>
      <w:r w:rsidR="00BD24DC">
        <w:rPr>
          <w:b/>
        </w:rPr>
        <w:t>equal to:</w:t>
      </w:r>
    </w:p>
    <w:p w14:paraId="15FDEEFC" w14:textId="62F1D12B" w:rsidR="00BD24DC" w:rsidRPr="00BD24DC" w:rsidRDefault="00F77E02" w:rsidP="00402D80">
      <w:pPr>
        <w:pStyle w:val="ListParagraph"/>
        <w:numPr>
          <w:ilvl w:val="1"/>
          <w:numId w:val="42"/>
        </w:numPr>
        <w:spacing w:after="0"/>
        <w:rPr>
          <w:b/>
        </w:rPr>
      </w:pPr>
      <w:r>
        <w:rPr>
          <w:b/>
        </w:rPr>
        <w:t xml:space="preserve">UE specific DRX value </w:t>
      </w:r>
      <w:r w:rsidR="00BD24DC" w:rsidRPr="00BD24DC">
        <w:rPr>
          <w:b/>
        </w:rPr>
        <w:t>configured by RRC</w:t>
      </w:r>
    </w:p>
    <w:p w14:paraId="1A66F5FF" w14:textId="77777777" w:rsidR="00641CD5" w:rsidRPr="00641CD5" w:rsidRDefault="00641CD5" w:rsidP="00641CD5"/>
    <w:p w14:paraId="6DAD61B5" w14:textId="71C3B6D3" w:rsidR="00623F0A" w:rsidRDefault="00A54356" w:rsidP="00623F0A">
      <w:pPr>
        <w:pStyle w:val="Heading3"/>
      </w:pPr>
      <w:r>
        <w:t>2.3</w:t>
      </w:r>
      <w:r w:rsidR="00641CD5">
        <w:t>.3</w:t>
      </w:r>
      <w:r w:rsidR="00623F0A">
        <w:t xml:space="preserve"> </w:t>
      </w:r>
      <w:r w:rsidR="00725BE8">
        <w:t xml:space="preserve">When </w:t>
      </w:r>
      <w:r w:rsidR="00A83CEB">
        <w:t xml:space="preserve">both CN and RAN </w:t>
      </w:r>
      <w:r w:rsidR="00623F0A">
        <w:t>eDRX cycle</w:t>
      </w:r>
      <w:r w:rsidR="00A83CEB">
        <w:t>s</w:t>
      </w:r>
      <w:r w:rsidR="00623F0A">
        <w:t xml:space="preserve"> are </w:t>
      </w:r>
      <w:r w:rsidR="00623F0A">
        <w:rPr>
          <w:rFonts w:cs="Arial"/>
        </w:rPr>
        <w:t>≤</w:t>
      </w:r>
      <w:r w:rsidR="00623F0A">
        <w:t xml:space="preserve"> 10.24 s</w:t>
      </w:r>
    </w:p>
    <w:p w14:paraId="78B71D98" w14:textId="09217E2F" w:rsidR="00623F0A" w:rsidRDefault="00623F0A" w:rsidP="000A79DF">
      <w:r>
        <w:t xml:space="preserve">If both eDRX cycle for CN and eDRX cycle for RAN are ≤ 10.24 s, PTW is not used for </w:t>
      </w:r>
      <w:r w:rsidR="00B57341">
        <w:t>either</w:t>
      </w:r>
      <w:r>
        <w:t xml:space="preserve"> CN </w:t>
      </w:r>
      <w:r w:rsidR="00B57341">
        <w:t>or</w:t>
      </w:r>
      <w:r>
        <w:t xml:space="preserve"> RAN eDRX cycles. </w:t>
      </w:r>
      <w:r w:rsidR="00B57341">
        <w:t xml:space="preserve">CN and RAN eDRX cycles should also override I-DRX cycle, similar to </w:t>
      </w:r>
      <w:r w:rsidR="00BD24DC">
        <w:t>the case in LTE when</w:t>
      </w:r>
      <w:r w:rsidR="00B57341">
        <w:t xml:space="preserve"> eDRX cycle is 5.12 s. </w:t>
      </w:r>
      <w:r>
        <w:t>Therefore, the DRX cycle of the UE should be the shortest of:</w:t>
      </w:r>
    </w:p>
    <w:p w14:paraId="14B97073" w14:textId="49ECEC30" w:rsidR="00623F0A" w:rsidRDefault="00A83CEB" w:rsidP="00623F0A">
      <w:pPr>
        <w:pStyle w:val="ListParagraph"/>
        <w:numPr>
          <w:ilvl w:val="0"/>
          <w:numId w:val="41"/>
        </w:numPr>
      </w:pPr>
      <w:r>
        <w:t>CN eDRX cycle</w:t>
      </w:r>
    </w:p>
    <w:p w14:paraId="4569FAEE" w14:textId="5E973113" w:rsidR="00623F0A" w:rsidRDefault="00A83CEB" w:rsidP="00623F0A">
      <w:pPr>
        <w:pStyle w:val="ListParagraph"/>
        <w:numPr>
          <w:ilvl w:val="0"/>
          <w:numId w:val="41"/>
        </w:numPr>
      </w:pPr>
      <w:r>
        <w:t>RAN eDRX cycle</w:t>
      </w:r>
    </w:p>
    <w:p w14:paraId="7F8B68D0" w14:textId="34C4E4F6" w:rsidR="002D3AA4" w:rsidRDefault="002D3AA4" w:rsidP="00402D80">
      <w:pPr>
        <w:spacing w:after="0"/>
        <w:rPr>
          <w:b/>
        </w:rPr>
      </w:pPr>
      <w:r w:rsidRPr="002D3AA4">
        <w:rPr>
          <w:b/>
        </w:rPr>
        <w:t>Proposal</w:t>
      </w:r>
      <w:r w:rsidR="00FD43FD">
        <w:rPr>
          <w:b/>
        </w:rPr>
        <w:t xml:space="preserve"> 6</w:t>
      </w:r>
      <w:r w:rsidRPr="002D3AA4">
        <w:rPr>
          <w:b/>
        </w:rPr>
        <w:t xml:space="preserve">: </w:t>
      </w:r>
      <w:r w:rsidR="00CC15E2">
        <w:rPr>
          <w:b/>
        </w:rPr>
        <w:t>In</w:t>
      </w:r>
      <w:r w:rsidR="00CC15E2" w:rsidRPr="00F166D6">
        <w:rPr>
          <w:b/>
        </w:rPr>
        <w:t xml:space="preserve"> RRC_INACTIVE</w:t>
      </w:r>
      <w:r w:rsidR="00CC15E2">
        <w:rPr>
          <w:b/>
        </w:rPr>
        <w:t xml:space="preserve"> mode, if </w:t>
      </w:r>
      <w:r w:rsidR="00A83CEB">
        <w:rPr>
          <w:b/>
        </w:rPr>
        <w:t>both</w:t>
      </w:r>
      <w:r w:rsidR="00CC15E2" w:rsidRPr="002D3AA4">
        <w:rPr>
          <w:b/>
        </w:rPr>
        <w:t xml:space="preserve"> </w:t>
      </w:r>
      <w:r w:rsidR="00A83CEB">
        <w:rPr>
          <w:b/>
        </w:rPr>
        <w:t xml:space="preserve">CN and RAN </w:t>
      </w:r>
      <w:r w:rsidR="00CC15E2" w:rsidRPr="002D3AA4">
        <w:rPr>
          <w:b/>
        </w:rPr>
        <w:t>eDRX cycle</w:t>
      </w:r>
      <w:r w:rsidR="00CC15E2">
        <w:rPr>
          <w:b/>
        </w:rPr>
        <w:t>s</w:t>
      </w:r>
      <w:r w:rsidR="00CC15E2" w:rsidRPr="002D3AA4">
        <w:rPr>
          <w:b/>
        </w:rPr>
        <w:t xml:space="preserve"> </w:t>
      </w:r>
      <w:r w:rsidR="00CC15E2">
        <w:rPr>
          <w:b/>
        </w:rPr>
        <w:t>are ≤</w:t>
      </w:r>
      <w:r w:rsidR="00CC15E2" w:rsidRPr="002D3AA4">
        <w:rPr>
          <w:b/>
        </w:rPr>
        <w:t xml:space="preserve"> 10.24 s</w:t>
      </w:r>
      <w:r w:rsidRPr="002D3AA4">
        <w:rPr>
          <w:b/>
        </w:rPr>
        <w:t xml:space="preserve">, T (DRX cycle of the UE) is </w:t>
      </w:r>
      <w:r w:rsidR="00623F0A">
        <w:rPr>
          <w:b/>
        </w:rPr>
        <w:t>determined by the shortest of:</w:t>
      </w:r>
    </w:p>
    <w:p w14:paraId="476630BB" w14:textId="74AE0E5B" w:rsidR="00623F0A" w:rsidRPr="00623F0A" w:rsidRDefault="00A83CEB" w:rsidP="00402D80">
      <w:pPr>
        <w:pStyle w:val="ListParagraph"/>
        <w:numPr>
          <w:ilvl w:val="0"/>
          <w:numId w:val="41"/>
        </w:numPr>
        <w:spacing w:after="0"/>
        <w:rPr>
          <w:b/>
        </w:rPr>
      </w:pPr>
      <w:r>
        <w:rPr>
          <w:b/>
        </w:rPr>
        <w:t>CN eDRX cycle</w:t>
      </w:r>
    </w:p>
    <w:p w14:paraId="510D7941" w14:textId="7A9FF6A3" w:rsidR="00623F0A" w:rsidRDefault="00A83CEB" w:rsidP="00402D80">
      <w:pPr>
        <w:pStyle w:val="ListParagraph"/>
        <w:numPr>
          <w:ilvl w:val="0"/>
          <w:numId w:val="41"/>
        </w:numPr>
        <w:spacing w:after="0"/>
        <w:rPr>
          <w:b/>
        </w:rPr>
      </w:pPr>
      <w:r>
        <w:rPr>
          <w:b/>
        </w:rPr>
        <w:t>RAN eDRX cycle</w:t>
      </w:r>
    </w:p>
    <w:p w14:paraId="75ABF8A5" w14:textId="77777777" w:rsidR="00B512B2" w:rsidRPr="00B512B2" w:rsidRDefault="00B512B2" w:rsidP="00B512B2">
      <w:pPr>
        <w:rPr>
          <w:b/>
        </w:rPr>
      </w:pPr>
    </w:p>
    <w:p w14:paraId="140E5ADE" w14:textId="13C51AEC" w:rsidR="00623F0A" w:rsidRDefault="00A54356" w:rsidP="00623F0A">
      <w:pPr>
        <w:pStyle w:val="Heading3"/>
      </w:pPr>
      <w:r>
        <w:t>2.3</w:t>
      </w:r>
      <w:r w:rsidR="00641CD5">
        <w:t>.4</w:t>
      </w:r>
      <w:r w:rsidR="00623F0A">
        <w:t xml:space="preserve"> </w:t>
      </w:r>
      <w:r w:rsidR="00725BE8">
        <w:t xml:space="preserve">When </w:t>
      </w:r>
      <w:r w:rsidR="00A83CEB">
        <w:t xml:space="preserve">CN </w:t>
      </w:r>
      <w:r w:rsidR="00623F0A">
        <w:t xml:space="preserve">eDRX cycle </w:t>
      </w:r>
      <w:r w:rsidR="00CC15E2">
        <w:t xml:space="preserve">is </w:t>
      </w:r>
      <w:r w:rsidR="00623F0A">
        <w:t xml:space="preserve">&gt; 10.24 s and </w:t>
      </w:r>
      <w:r w:rsidR="00A83CEB">
        <w:t xml:space="preserve">RAN </w:t>
      </w:r>
      <w:r w:rsidR="00623F0A">
        <w:t xml:space="preserve">eDRX cycle </w:t>
      </w:r>
      <w:r w:rsidR="00CC15E2">
        <w:t xml:space="preserve">is </w:t>
      </w:r>
      <w:r w:rsidR="00623F0A">
        <w:rPr>
          <w:rFonts w:cs="Arial"/>
        </w:rPr>
        <w:t>≤</w:t>
      </w:r>
      <w:r w:rsidR="00623F0A">
        <w:t xml:space="preserve"> 10.24 s</w:t>
      </w:r>
    </w:p>
    <w:p w14:paraId="08024FBA" w14:textId="7AA13D25" w:rsidR="00623F0A" w:rsidRDefault="00CC15E2" w:rsidP="002D3AA4">
      <w:r>
        <w:t>In RedCap, when eDRX cycle for CN &gt; 10.24 s, PTW mechanism should be used for CN paging. Within the PTW, DRX cycle of the UE (T) should be determined by (</w:t>
      </w:r>
      <w:r w:rsidR="00BD24DC">
        <w:t>similar to</w:t>
      </w:r>
      <w:r>
        <w:t xml:space="preserve"> LTE</w:t>
      </w:r>
      <w:r w:rsidR="00BD24DC">
        <w:t xml:space="preserve"> and case 2.3.2 above</w:t>
      </w:r>
      <w:r>
        <w:t>):</w:t>
      </w:r>
    </w:p>
    <w:p w14:paraId="2A42A041" w14:textId="77777777" w:rsidR="00CC15E2" w:rsidRDefault="00CC15E2" w:rsidP="00CC15E2">
      <w:pPr>
        <w:pStyle w:val="ListParagraph"/>
        <w:numPr>
          <w:ilvl w:val="0"/>
          <w:numId w:val="37"/>
        </w:numPr>
      </w:pPr>
      <w:r>
        <w:t>Default DRX value</w:t>
      </w:r>
    </w:p>
    <w:p w14:paraId="01861102" w14:textId="2FB06100" w:rsidR="00BD24DC" w:rsidRDefault="00BD24DC" w:rsidP="00BD24DC">
      <w:pPr>
        <w:pStyle w:val="ListParagraph"/>
        <w:numPr>
          <w:ilvl w:val="0"/>
          <w:numId w:val="37"/>
        </w:numPr>
      </w:pPr>
      <w:r w:rsidRPr="00B57341">
        <w:t>UE specific DRX value(s), if configured by RRC and/or upper layers</w:t>
      </w:r>
    </w:p>
    <w:p w14:paraId="0A01BC44" w14:textId="3D0EC4D0" w:rsidR="00CC15E2" w:rsidRDefault="00CC15E2" w:rsidP="00BD24DC">
      <w:pPr>
        <w:pStyle w:val="ListParagraph"/>
      </w:pPr>
    </w:p>
    <w:p w14:paraId="61BF9763" w14:textId="6E2C8E71" w:rsidR="00CC15E2" w:rsidRDefault="00CC15E2" w:rsidP="002D3AA4">
      <w:r>
        <w:t xml:space="preserve">Outside PTW, </w:t>
      </w:r>
      <w:r w:rsidR="0018519E">
        <w:t xml:space="preserve">eDRX cycle of RAN should override the DRX cycle, therefore </w:t>
      </w:r>
      <w:r>
        <w:t>the DRX cycle should be equal to:</w:t>
      </w:r>
    </w:p>
    <w:p w14:paraId="2BBA50E8" w14:textId="0E1FAC73" w:rsidR="00CC15E2" w:rsidRDefault="00CC15E2" w:rsidP="00CC15E2">
      <w:pPr>
        <w:pStyle w:val="ListParagraph"/>
        <w:numPr>
          <w:ilvl w:val="0"/>
          <w:numId w:val="42"/>
        </w:numPr>
      </w:pPr>
      <w:r>
        <w:t>eDRX cycle for RAN</w:t>
      </w:r>
    </w:p>
    <w:p w14:paraId="66DCBD5F" w14:textId="2FFF50C3" w:rsidR="00C662C8" w:rsidRDefault="00CC15E2" w:rsidP="00402D80">
      <w:pPr>
        <w:spacing w:after="0"/>
        <w:rPr>
          <w:b/>
        </w:rPr>
      </w:pPr>
      <w:r w:rsidRPr="00CC15E2">
        <w:rPr>
          <w:b/>
        </w:rPr>
        <w:t>Proposal</w:t>
      </w:r>
      <w:r w:rsidR="00FD43FD">
        <w:rPr>
          <w:b/>
        </w:rPr>
        <w:t xml:space="preserve"> 7</w:t>
      </w:r>
      <w:r w:rsidRPr="00CC15E2">
        <w:rPr>
          <w:b/>
        </w:rPr>
        <w:t>: In</w:t>
      </w:r>
      <w:r w:rsidRPr="00F166D6">
        <w:rPr>
          <w:b/>
        </w:rPr>
        <w:t xml:space="preserve"> RRC_INACTIVE</w:t>
      </w:r>
      <w:r>
        <w:rPr>
          <w:b/>
        </w:rPr>
        <w:t xml:space="preserve"> mode, if the</w:t>
      </w:r>
      <w:r w:rsidR="00A83CEB">
        <w:rPr>
          <w:b/>
        </w:rPr>
        <w:t xml:space="preserve"> CN</w:t>
      </w:r>
      <w:r w:rsidRPr="002D3AA4">
        <w:rPr>
          <w:b/>
        </w:rPr>
        <w:t xml:space="preserve"> eDRX cycle </w:t>
      </w:r>
      <w:r>
        <w:rPr>
          <w:b/>
        </w:rPr>
        <w:t>is &gt; 10.24 s and the</w:t>
      </w:r>
      <w:r w:rsidR="00A83CEB">
        <w:rPr>
          <w:b/>
        </w:rPr>
        <w:t xml:space="preserve"> RAN</w:t>
      </w:r>
      <w:r w:rsidRPr="002D3AA4">
        <w:rPr>
          <w:b/>
        </w:rPr>
        <w:t xml:space="preserve"> eDRX cycle </w:t>
      </w:r>
      <w:r>
        <w:rPr>
          <w:b/>
        </w:rPr>
        <w:t>is ≤</w:t>
      </w:r>
      <w:r w:rsidRPr="002D3AA4">
        <w:rPr>
          <w:b/>
        </w:rPr>
        <w:t xml:space="preserve"> 10.24 s</w:t>
      </w:r>
      <w:r w:rsidR="00C662C8">
        <w:rPr>
          <w:b/>
        </w:rPr>
        <w:t>:</w:t>
      </w:r>
    </w:p>
    <w:p w14:paraId="5BB95900" w14:textId="1A4E17A3" w:rsidR="00623F0A" w:rsidRDefault="00C662C8" w:rsidP="00402D80">
      <w:pPr>
        <w:spacing w:after="0"/>
        <w:ind w:left="720"/>
      </w:pPr>
      <w:r>
        <w:rPr>
          <w:b/>
        </w:rPr>
        <w:t>D</w:t>
      </w:r>
      <w:r w:rsidR="00CC15E2">
        <w:rPr>
          <w:b/>
        </w:rPr>
        <w:t xml:space="preserve">uring </w:t>
      </w:r>
      <w:r w:rsidR="00BD24DC">
        <w:rPr>
          <w:b/>
        </w:rPr>
        <w:t xml:space="preserve">the </w:t>
      </w:r>
      <w:r w:rsidR="00A83CEB">
        <w:rPr>
          <w:b/>
        </w:rPr>
        <w:t>CN PTW</w:t>
      </w:r>
      <w:r w:rsidR="00CC15E2">
        <w:rPr>
          <w:b/>
        </w:rPr>
        <w:t xml:space="preserve">, </w:t>
      </w:r>
      <w:r w:rsidR="00CC15E2" w:rsidRPr="00F166D6">
        <w:rPr>
          <w:b/>
        </w:rPr>
        <w:t>T (DRX cycle of the UE) is determined by the shortest of:</w:t>
      </w:r>
    </w:p>
    <w:p w14:paraId="661A0648" w14:textId="77777777" w:rsidR="00CC15E2" w:rsidRPr="00CC15E2" w:rsidRDefault="00CC15E2" w:rsidP="00402D80">
      <w:pPr>
        <w:pStyle w:val="ListParagraph"/>
        <w:numPr>
          <w:ilvl w:val="1"/>
          <w:numId w:val="37"/>
        </w:numPr>
        <w:spacing w:after="0"/>
        <w:rPr>
          <w:b/>
        </w:rPr>
      </w:pPr>
      <w:r w:rsidRPr="00CC15E2">
        <w:rPr>
          <w:b/>
        </w:rPr>
        <w:t>Default DRX value</w:t>
      </w:r>
    </w:p>
    <w:p w14:paraId="0F6FE0FC" w14:textId="36409C16" w:rsidR="00CC15E2" w:rsidRPr="00CC15E2" w:rsidRDefault="00BD24DC" w:rsidP="00402D80">
      <w:pPr>
        <w:pStyle w:val="ListParagraph"/>
        <w:numPr>
          <w:ilvl w:val="1"/>
          <w:numId w:val="37"/>
        </w:numPr>
        <w:spacing w:after="0"/>
        <w:rPr>
          <w:b/>
        </w:rPr>
      </w:pPr>
      <w:r w:rsidRPr="00BD24DC">
        <w:rPr>
          <w:b/>
        </w:rPr>
        <w:t>UE specific DRX value(s), if configured by RRC and/or upper layers</w:t>
      </w:r>
    </w:p>
    <w:p w14:paraId="3481B1BC" w14:textId="7391F13E" w:rsidR="00CC15E2" w:rsidRDefault="00C662C8" w:rsidP="00402D80">
      <w:pPr>
        <w:spacing w:after="0"/>
      </w:pPr>
      <w:r>
        <w:rPr>
          <w:b/>
        </w:rPr>
        <w:tab/>
        <w:t>O</w:t>
      </w:r>
      <w:r w:rsidR="00CC15E2">
        <w:rPr>
          <w:b/>
        </w:rPr>
        <w:t xml:space="preserve">utside </w:t>
      </w:r>
      <w:r w:rsidR="00BD24DC">
        <w:rPr>
          <w:b/>
        </w:rPr>
        <w:t>the</w:t>
      </w:r>
      <w:r w:rsidR="00CC15E2">
        <w:rPr>
          <w:b/>
        </w:rPr>
        <w:t xml:space="preserve"> </w:t>
      </w:r>
      <w:r w:rsidR="00A83CEB">
        <w:rPr>
          <w:b/>
        </w:rPr>
        <w:t xml:space="preserve">CN </w:t>
      </w:r>
      <w:r w:rsidR="00CC15E2">
        <w:rPr>
          <w:b/>
        </w:rPr>
        <w:t xml:space="preserve">PTW, </w:t>
      </w:r>
      <w:r>
        <w:rPr>
          <w:b/>
        </w:rPr>
        <w:t>T</w:t>
      </w:r>
      <w:r w:rsidR="00CC15E2" w:rsidRPr="00F166D6">
        <w:rPr>
          <w:b/>
        </w:rPr>
        <w:t xml:space="preserve"> is </w:t>
      </w:r>
      <w:r w:rsidR="00CC15E2">
        <w:rPr>
          <w:b/>
        </w:rPr>
        <w:t>equal to</w:t>
      </w:r>
      <w:r w:rsidR="00CC15E2" w:rsidRPr="00F166D6">
        <w:rPr>
          <w:b/>
        </w:rPr>
        <w:t>:</w:t>
      </w:r>
    </w:p>
    <w:p w14:paraId="4B1B718C" w14:textId="0C6A9033" w:rsidR="00CC15E2" w:rsidRDefault="00A83CEB" w:rsidP="00402D80">
      <w:pPr>
        <w:pStyle w:val="ListParagraph"/>
        <w:numPr>
          <w:ilvl w:val="1"/>
          <w:numId w:val="42"/>
        </w:numPr>
        <w:spacing w:after="0"/>
        <w:rPr>
          <w:b/>
        </w:rPr>
      </w:pPr>
      <w:r>
        <w:rPr>
          <w:b/>
        </w:rPr>
        <w:t xml:space="preserve">RAN </w:t>
      </w:r>
      <w:r w:rsidR="00CC15E2" w:rsidRPr="00CC15E2">
        <w:rPr>
          <w:b/>
        </w:rPr>
        <w:t xml:space="preserve">eDRX cycle </w:t>
      </w:r>
    </w:p>
    <w:p w14:paraId="739C31DD" w14:textId="77777777" w:rsidR="00B512B2" w:rsidRPr="00B512B2" w:rsidRDefault="00B512B2" w:rsidP="00B512B2">
      <w:pPr>
        <w:rPr>
          <w:b/>
        </w:rPr>
      </w:pPr>
    </w:p>
    <w:p w14:paraId="7D7A2BD3" w14:textId="6DF1D6A0" w:rsidR="00CC15E2" w:rsidRDefault="00641CD5" w:rsidP="00CC15E2">
      <w:pPr>
        <w:pStyle w:val="Heading3"/>
      </w:pPr>
      <w:r>
        <w:t>2.3.5</w:t>
      </w:r>
      <w:r w:rsidR="00CC15E2">
        <w:t xml:space="preserve"> </w:t>
      </w:r>
      <w:r w:rsidR="00725BE8">
        <w:t xml:space="preserve">When </w:t>
      </w:r>
      <w:r w:rsidR="00A83CEB">
        <w:t xml:space="preserve">both CN and RAN </w:t>
      </w:r>
      <w:r w:rsidR="00CC15E2">
        <w:t>eDRX cycle</w:t>
      </w:r>
      <w:r w:rsidR="00A83CEB">
        <w:t>s</w:t>
      </w:r>
      <w:r w:rsidR="00CC15E2">
        <w:t xml:space="preserve"> are &gt; 10.24 s</w:t>
      </w:r>
    </w:p>
    <w:p w14:paraId="26C9466E" w14:textId="27134BCE" w:rsidR="002D3AA4" w:rsidRDefault="00F166D6" w:rsidP="002D3AA4">
      <w:r>
        <w:t>In RedCap, when PTW is configured by CN and RAN, there are three cases to consider:</w:t>
      </w:r>
    </w:p>
    <w:p w14:paraId="42B682CD" w14:textId="729A4DC1" w:rsidR="00F166D6" w:rsidRDefault="00F166D6" w:rsidP="00F166D6">
      <w:pPr>
        <w:pStyle w:val="ListParagraph"/>
        <w:numPr>
          <w:ilvl w:val="0"/>
          <w:numId w:val="40"/>
        </w:numPr>
      </w:pPr>
      <w:r>
        <w:t>Case 1: PTW_CN and PTW_RAN overlap</w:t>
      </w:r>
    </w:p>
    <w:p w14:paraId="4CC2EC01" w14:textId="24A5CE04" w:rsidR="00F166D6" w:rsidRDefault="00F166D6" w:rsidP="00F166D6">
      <w:pPr>
        <w:pStyle w:val="ListParagraph"/>
        <w:numPr>
          <w:ilvl w:val="0"/>
          <w:numId w:val="40"/>
        </w:numPr>
      </w:pPr>
      <w:r>
        <w:t>Case 2: PTW_CN only</w:t>
      </w:r>
    </w:p>
    <w:p w14:paraId="127F4AD0" w14:textId="749F8F1E" w:rsidR="00F166D6" w:rsidRDefault="00F166D6" w:rsidP="00F166D6">
      <w:pPr>
        <w:pStyle w:val="ListParagraph"/>
        <w:numPr>
          <w:ilvl w:val="0"/>
          <w:numId w:val="40"/>
        </w:numPr>
      </w:pPr>
      <w:r>
        <w:t>Case 3: PTW_RAN only</w:t>
      </w:r>
    </w:p>
    <w:p w14:paraId="78A9209E" w14:textId="27CB35DB" w:rsidR="00AA5C16" w:rsidRDefault="00AA5C16" w:rsidP="00F166D6">
      <w:r>
        <w:t>Note: Outside both PTW’s the UE is not required to monitor the PDCCH.</w:t>
      </w:r>
    </w:p>
    <w:p w14:paraId="3D85EB7B" w14:textId="53EFD62E" w:rsidR="00F166D6" w:rsidRDefault="00F166D6" w:rsidP="00F166D6">
      <w:r>
        <w:t xml:space="preserve">Case 1 is similar to the RRC_INACTIVE case during PTW in LTE, </w:t>
      </w:r>
      <w:r w:rsidR="00BD24DC">
        <w:t>therefore</w:t>
      </w:r>
      <w:r>
        <w:t xml:space="preserve"> the DRX cycle</w:t>
      </w:r>
      <w:r w:rsidR="00405AAB">
        <w:t xml:space="preserve"> (T)</w:t>
      </w:r>
      <w:r>
        <w:t xml:space="preserve"> should be determined by the shortest of:</w:t>
      </w:r>
    </w:p>
    <w:p w14:paraId="6296E2BC" w14:textId="77777777" w:rsidR="00F166D6" w:rsidRDefault="00F166D6" w:rsidP="00F166D6">
      <w:pPr>
        <w:pStyle w:val="ListParagraph"/>
        <w:numPr>
          <w:ilvl w:val="0"/>
          <w:numId w:val="37"/>
        </w:numPr>
      </w:pPr>
      <w:r>
        <w:t>Default DRX value</w:t>
      </w:r>
    </w:p>
    <w:p w14:paraId="004AAEDE" w14:textId="0F13CCF6" w:rsidR="00405AAB" w:rsidRDefault="00405AAB" w:rsidP="00405AAB">
      <w:pPr>
        <w:pStyle w:val="ListParagraph"/>
        <w:numPr>
          <w:ilvl w:val="0"/>
          <w:numId w:val="37"/>
        </w:numPr>
      </w:pPr>
      <w:r w:rsidRPr="00B57341">
        <w:t>UE specific DRX value(s), if configured by RRC and/or upper layers</w:t>
      </w:r>
    </w:p>
    <w:p w14:paraId="1817DFD2" w14:textId="577CA8FB" w:rsidR="00F166D6" w:rsidRDefault="00F166D6" w:rsidP="00F166D6">
      <w:r>
        <w:t>In Case 2, RAN does not require monitoring for paging</w:t>
      </w:r>
      <w:r w:rsidR="009E39B1">
        <w:t xml:space="preserve"> </w:t>
      </w:r>
      <w:r w:rsidR="00405AAB">
        <w:t xml:space="preserve">during this interval </w:t>
      </w:r>
      <w:r w:rsidR="009E39B1">
        <w:t>(this is outside of PTW for RAN)</w:t>
      </w:r>
      <w:r>
        <w:t>,</w:t>
      </w:r>
      <w:r w:rsidR="00405AAB">
        <w:t xml:space="preserve"> which means the UE specific DRX value configured by RRC should not be applied,</w:t>
      </w:r>
      <w:r>
        <w:t xml:space="preserve"> therefore the DRX cycle </w:t>
      </w:r>
      <w:r w:rsidR="00405AAB">
        <w:t xml:space="preserve">(T’) </w:t>
      </w:r>
      <w:r>
        <w:t>should be the shortest of:</w:t>
      </w:r>
    </w:p>
    <w:p w14:paraId="6FD9F5AA" w14:textId="77777777" w:rsidR="00F166D6" w:rsidRDefault="00F166D6" w:rsidP="00F166D6">
      <w:pPr>
        <w:pStyle w:val="ListParagraph"/>
        <w:numPr>
          <w:ilvl w:val="0"/>
          <w:numId w:val="37"/>
        </w:numPr>
      </w:pPr>
      <w:r>
        <w:t>Default DRX value</w:t>
      </w:r>
    </w:p>
    <w:p w14:paraId="17B26C34" w14:textId="7A5DEADA" w:rsidR="00F166D6" w:rsidRDefault="00405AAB" w:rsidP="00F166D6">
      <w:pPr>
        <w:pStyle w:val="ListParagraph"/>
        <w:numPr>
          <w:ilvl w:val="0"/>
          <w:numId w:val="37"/>
        </w:numPr>
      </w:pPr>
      <w:r>
        <w:t>UE specific DRX value</w:t>
      </w:r>
      <w:r w:rsidRPr="00B57341">
        <w:t>, if configured by upper layers</w:t>
      </w:r>
    </w:p>
    <w:p w14:paraId="129FC2E7" w14:textId="7B3CAFC4" w:rsidR="002D3AA4" w:rsidRDefault="00F166D6" w:rsidP="002D3AA4">
      <w:r>
        <w:t xml:space="preserve">Case 3 is similar to the LTE case outside the PTW, </w:t>
      </w:r>
      <w:r w:rsidR="009E39B1">
        <w:t xml:space="preserve">where the CN does not require monitoring for paging, </w:t>
      </w:r>
      <w:r w:rsidR="00C662C8">
        <w:t xml:space="preserve">and the UE specific DRX value configured by RRC takes over, </w:t>
      </w:r>
      <w:r>
        <w:t>therefore the DRX cycle</w:t>
      </w:r>
      <w:r w:rsidR="00405AAB">
        <w:t xml:space="preserve"> (T’’)</w:t>
      </w:r>
      <w:r>
        <w:t xml:space="preserve"> should be</w:t>
      </w:r>
      <w:r w:rsidR="009E39B1">
        <w:t xml:space="preserve"> equal to</w:t>
      </w:r>
      <w:r>
        <w:t>:</w:t>
      </w:r>
    </w:p>
    <w:p w14:paraId="6D3806A3" w14:textId="7AE3313F" w:rsidR="00F166D6" w:rsidRDefault="00405AAB" w:rsidP="00F166D6">
      <w:pPr>
        <w:pStyle w:val="ListParagraph"/>
        <w:numPr>
          <w:ilvl w:val="0"/>
          <w:numId w:val="38"/>
        </w:numPr>
      </w:pPr>
      <w:r>
        <w:t>UE specific DRX value</w:t>
      </w:r>
      <w:r w:rsidR="00F973FA">
        <w:t xml:space="preserve"> </w:t>
      </w:r>
      <w:r w:rsidRPr="00B57341">
        <w:t>configured by RRC</w:t>
      </w:r>
    </w:p>
    <w:p w14:paraId="4A911D38" w14:textId="41AFEE1F" w:rsidR="00F166D6" w:rsidRDefault="00F166D6" w:rsidP="002D3AA4">
      <w:r>
        <w:lastRenderedPageBreak/>
        <w:t xml:space="preserve">These </w:t>
      </w:r>
      <w:r w:rsidR="00405AAB">
        <w:t xml:space="preserve">cases </w:t>
      </w:r>
      <w:r>
        <w:t>are illustrated in below:</w:t>
      </w:r>
    </w:p>
    <w:p w14:paraId="7D585DB9" w14:textId="7D0C994C" w:rsidR="00F166D6" w:rsidRDefault="00405AAB" w:rsidP="00F166D6">
      <w:pPr>
        <w:keepNext/>
        <w:jc w:val="center"/>
      </w:pPr>
      <w:r w:rsidRPr="00405AAB">
        <w:rPr>
          <w:noProof/>
          <w:lang w:val="en-US"/>
        </w:rPr>
        <w:drawing>
          <wp:inline distT="0" distB="0" distL="0" distR="0" wp14:anchorId="72E40B4E" wp14:editId="6EF17F5C">
            <wp:extent cx="5360400" cy="371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0400" cy="3711600"/>
                    </a:xfrm>
                    <a:prstGeom prst="rect">
                      <a:avLst/>
                    </a:prstGeom>
                    <a:noFill/>
                    <a:ln>
                      <a:noFill/>
                    </a:ln>
                  </pic:spPr>
                </pic:pic>
              </a:graphicData>
            </a:graphic>
          </wp:inline>
        </w:drawing>
      </w:r>
    </w:p>
    <w:p w14:paraId="196387CA" w14:textId="082C6D83" w:rsidR="00F166D6" w:rsidRDefault="00F166D6" w:rsidP="00F166D6">
      <w:pPr>
        <w:pStyle w:val="Caption"/>
        <w:jc w:val="center"/>
      </w:pPr>
      <w:r>
        <w:t xml:space="preserve">Figure </w:t>
      </w:r>
      <w:r w:rsidR="00284FF3">
        <w:rPr>
          <w:noProof/>
        </w:rPr>
        <w:fldChar w:fldCharType="begin"/>
      </w:r>
      <w:r w:rsidR="00284FF3">
        <w:rPr>
          <w:noProof/>
        </w:rPr>
        <w:instrText xml:space="preserve"> SEQ Figure \* ARABIC </w:instrText>
      </w:r>
      <w:r w:rsidR="00284FF3">
        <w:rPr>
          <w:noProof/>
        </w:rPr>
        <w:fldChar w:fldCharType="separate"/>
      </w:r>
      <w:r>
        <w:rPr>
          <w:noProof/>
        </w:rPr>
        <w:t>6</w:t>
      </w:r>
      <w:r w:rsidR="00284FF3">
        <w:rPr>
          <w:noProof/>
        </w:rPr>
        <w:fldChar w:fldCharType="end"/>
      </w:r>
      <w:r>
        <w:t xml:space="preserve"> RedCap rule</w:t>
      </w:r>
      <w:r w:rsidR="00866BC9">
        <w:t xml:space="preserve">s for determining DRX cycle </w:t>
      </w:r>
      <w:r>
        <w:t xml:space="preserve">of the UE </w:t>
      </w:r>
      <w:r w:rsidR="00866BC9">
        <w:t xml:space="preserve">(T) </w:t>
      </w:r>
      <w:r>
        <w:t>for RRC_INACTIVE</w:t>
      </w:r>
      <w:r w:rsidR="00866BC9">
        <w:t xml:space="preserve"> mode</w:t>
      </w:r>
    </w:p>
    <w:p w14:paraId="26D58E0C" w14:textId="41CC5DDC" w:rsidR="00C662C8" w:rsidRDefault="00F166D6" w:rsidP="00402D80">
      <w:pPr>
        <w:spacing w:after="0"/>
        <w:rPr>
          <w:b/>
        </w:rPr>
      </w:pPr>
      <w:r w:rsidRPr="00F166D6">
        <w:rPr>
          <w:b/>
        </w:rPr>
        <w:t>Proposal</w:t>
      </w:r>
      <w:r w:rsidR="00FD43FD">
        <w:rPr>
          <w:b/>
        </w:rPr>
        <w:t xml:space="preserve"> 8</w:t>
      </w:r>
      <w:r w:rsidRPr="00F166D6">
        <w:rPr>
          <w:b/>
        </w:rPr>
        <w:t xml:space="preserve">: </w:t>
      </w:r>
      <w:r>
        <w:rPr>
          <w:b/>
        </w:rPr>
        <w:t>In</w:t>
      </w:r>
      <w:r w:rsidRPr="00F166D6">
        <w:rPr>
          <w:b/>
        </w:rPr>
        <w:t xml:space="preserve"> RRC_INACTIVE</w:t>
      </w:r>
      <w:r w:rsidR="00852094">
        <w:rPr>
          <w:b/>
        </w:rPr>
        <w:t xml:space="preserve"> mode</w:t>
      </w:r>
      <w:r>
        <w:rPr>
          <w:b/>
        </w:rPr>
        <w:t xml:space="preserve">, </w:t>
      </w:r>
      <w:r w:rsidR="00CC15E2">
        <w:rPr>
          <w:b/>
        </w:rPr>
        <w:t xml:space="preserve">if </w:t>
      </w:r>
      <w:r w:rsidR="00A83CEB">
        <w:rPr>
          <w:b/>
        </w:rPr>
        <w:t>both</w:t>
      </w:r>
      <w:r w:rsidR="00CC15E2" w:rsidRPr="002D3AA4">
        <w:rPr>
          <w:b/>
        </w:rPr>
        <w:t xml:space="preserve"> </w:t>
      </w:r>
      <w:r w:rsidR="00A83CEB">
        <w:rPr>
          <w:b/>
        </w:rPr>
        <w:t xml:space="preserve">CN and RAN </w:t>
      </w:r>
      <w:r w:rsidR="00CC15E2" w:rsidRPr="002D3AA4">
        <w:rPr>
          <w:b/>
        </w:rPr>
        <w:t>eDRX cycle</w:t>
      </w:r>
      <w:r w:rsidR="00CC15E2">
        <w:rPr>
          <w:b/>
        </w:rPr>
        <w:t>s</w:t>
      </w:r>
      <w:r w:rsidR="00CC15E2" w:rsidRPr="002D3AA4">
        <w:rPr>
          <w:b/>
        </w:rPr>
        <w:t xml:space="preserve"> </w:t>
      </w:r>
      <w:r w:rsidR="00CC15E2">
        <w:rPr>
          <w:b/>
        </w:rPr>
        <w:t>are &gt;</w:t>
      </w:r>
      <w:r w:rsidR="00CC15E2" w:rsidRPr="002D3AA4">
        <w:rPr>
          <w:b/>
        </w:rPr>
        <w:t xml:space="preserve"> 10.24 s</w:t>
      </w:r>
      <w:r w:rsidR="00C662C8">
        <w:rPr>
          <w:b/>
        </w:rPr>
        <w:t>:</w:t>
      </w:r>
    </w:p>
    <w:p w14:paraId="08A08298" w14:textId="5764DBB7" w:rsidR="00F166D6" w:rsidRPr="00F166D6" w:rsidRDefault="009600F2" w:rsidP="00402D80">
      <w:pPr>
        <w:spacing w:after="0"/>
        <w:ind w:left="360"/>
        <w:rPr>
          <w:b/>
        </w:rPr>
      </w:pPr>
      <w:r>
        <w:rPr>
          <w:b/>
        </w:rPr>
        <w:t>When</w:t>
      </w:r>
      <w:r w:rsidR="00CC15E2">
        <w:rPr>
          <w:b/>
        </w:rPr>
        <w:t xml:space="preserve"> the PTWs</w:t>
      </w:r>
      <w:r w:rsidR="00F166D6">
        <w:rPr>
          <w:b/>
        </w:rPr>
        <w:t xml:space="preserve"> </w:t>
      </w:r>
      <w:r w:rsidR="00C662C8">
        <w:rPr>
          <w:b/>
        </w:rPr>
        <w:t xml:space="preserve">are </w:t>
      </w:r>
      <w:r w:rsidR="00F166D6" w:rsidRPr="00F166D6">
        <w:rPr>
          <w:b/>
        </w:rPr>
        <w:t>overlap</w:t>
      </w:r>
      <w:r w:rsidR="00C662C8">
        <w:rPr>
          <w:b/>
        </w:rPr>
        <w:t>ping</w:t>
      </w:r>
      <w:r w:rsidR="00F166D6" w:rsidRPr="00F166D6">
        <w:rPr>
          <w:b/>
        </w:rPr>
        <w:t>, T (DRX cycle of the UE) is determined by the shortest of:</w:t>
      </w:r>
    </w:p>
    <w:p w14:paraId="04AD8845" w14:textId="77777777" w:rsidR="00F166D6" w:rsidRDefault="00F166D6" w:rsidP="00402D80">
      <w:pPr>
        <w:pStyle w:val="ListParagraph"/>
        <w:numPr>
          <w:ilvl w:val="1"/>
          <w:numId w:val="37"/>
        </w:numPr>
        <w:spacing w:after="0"/>
        <w:rPr>
          <w:b/>
        </w:rPr>
      </w:pPr>
      <w:r w:rsidRPr="00F166D6">
        <w:rPr>
          <w:b/>
        </w:rPr>
        <w:t>Default DRX value</w:t>
      </w:r>
    </w:p>
    <w:p w14:paraId="21845AA3" w14:textId="74996965" w:rsidR="00405AAB" w:rsidRPr="00405AAB" w:rsidRDefault="00405AAB" w:rsidP="00402D80">
      <w:pPr>
        <w:pStyle w:val="ListParagraph"/>
        <w:numPr>
          <w:ilvl w:val="1"/>
          <w:numId w:val="37"/>
        </w:numPr>
        <w:spacing w:after="0"/>
        <w:rPr>
          <w:b/>
        </w:rPr>
      </w:pPr>
      <w:r w:rsidRPr="00405AAB">
        <w:rPr>
          <w:b/>
        </w:rPr>
        <w:t>UE specific DRX value(s), if configured by RRC and/or upper layers</w:t>
      </w:r>
    </w:p>
    <w:p w14:paraId="7B2C87EE" w14:textId="21DFEA48" w:rsidR="00F166D6" w:rsidRPr="00F166D6" w:rsidRDefault="00C662C8" w:rsidP="00402D80">
      <w:pPr>
        <w:spacing w:after="0"/>
        <w:ind w:left="360"/>
        <w:rPr>
          <w:b/>
        </w:rPr>
      </w:pPr>
      <w:r>
        <w:rPr>
          <w:b/>
        </w:rPr>
        <w:t>D</w:t>
      </w:r>
      <w:r w:rsidR="00F166D6">
        <w:rPr>
          <w:b/>
        </w:rPr>
        <w:t xml:space="preserve">uring </w:t>
      </w:r>
      <w:r w:rsidR="00A83CEB">
        <w:rPr>
          <w:b/>
        </w:rPr>
        <w:t xml:space="preserve">CN </w:t>
      </w:r>
      <w:r w:rsidR="00F166D6">
        <w:rPr>
          <w:b/>
        </w:rPr>
        <w:t xml:space="preserve">PTW only, </w:t>
      </w:r>
      <w:r w:rsidR="00A83CEB">
        <w:rPr>
          <w:b/>
        </w:rPr>
        <w:t>T</w:t>
      </w:r>
      <w:r w:rsidR="00F166D6" w:rsidRPr="00F166D6">
        <w:rPr>
          <w:b/>
        </w:rPr>
        <w:t xml:space="preserve"> is determined by the shortest of:</w:t>
      </w:r>
    </w:p>
    <w:p w14:paraId="380A3E11" w14:textId="77777777" w:rsidR="00405AAB" w:rsidRPr="00405AAB" w:rsidRDefault="00405AAB" w:rsidP="00402D80">
      <w:pPr>
        <w:pStyle w:val="ListParagraph"/>
        <w:numPr>
          <w:ilvl w:val="1"/>
          <w:numId w:val="37"/>
        </w:numPr>
        <w:spacing w:after="0"/>
        <w:rPr>
          <w:b/>
        </w:rPr>
      </w:pPr>
      <w:r w:rsidRPr="00405AAB">
        <w:rPr>
          <w:b/>
        </w:rPr>
        <w:t>Default DRX value</w:t>
      </w:r>
    </w:p>
    <w:p w14:paraId="7BFBD4C9" w14:textId="77777777" w:rsidR="00405AAB" w:rsidRPr="00405AAB" w:rsidRDefault="00405AAB" w:rsidP="00402D80">
      <w:pPr>
        <w:pStyle w:val="ListParagraph"/>
        <w:numPr>
          <w:ilvl w:val="1"/>
          <w:numId w:val="37"/>
        </w:numPr>
        <w:spacing w:after="0"/>
        <w:rPr>
          <w:b/>
        </w:rPr>
      </w:pPr>
      <w:r w:rsidRPr="00405AAB">
        <w:rPr>
          <w:b/>
        </w:rPr>
        <w:t>UE specific DRX value, if configured by upper layers</w:t>
      </w:r>
    </w:p>
    <w:p w14:paraId="067755A3" w14:textId="2ADFCE07" w:rsidR="00F166D6" w:rsidRDefault="00C662C8" w:rsidP="00402D80">
      <w:pPr>
        <w:spacing w:after="0"/>
        <w:ind w:left="360"/>
        <w:rPr>
          <w:b/>
        </w:rPr>
      </w:pPr>
      <w:r>
        <w:rPr>
          <w:b/>
        </w:rPr>
        <w:t>D</w:t>
      </w:r>
      <w:r w:rsidR="00F166D6">
        <w:rPr>
          <w:b/>
        </w:rPr>
        <w:t xml:space="preserve">uring </w:t>
      </w:r>
      <w:r w:rsidR="00A83CEB">
        <w:rPr>
          <w:b/>
        </w:rPr>
        <w:t xml:space="preserve">RAN </w:t>
      </w:r>
      <w:r w:rsidR="00F166D6">
        <w:rPr>
          <w:b/>
        </w:rPr>
        <w:t xml:space="preserve">PTW only, </w:t>
      </w:r>
      <w:r w:rsidR="00A83CEB">
        <w:rPr>
          <w:b/>
        </w:rPr>
        <w:t>T</w:t>
      </w:r>
      <w:r w:rsidR="00F166D6" w:rsidRPr="00F166D6">
        <w:rPr>
          <w:b/>
        </w:rPr>
        <w:t xml:space="preserve"> is </w:t>
      </w:r>
      <w:r w:rsidR="007D02D1">
        <w:rPr>
          <w:b/>
        </w:rPr>
        <w:t>equal to</w:t>
      </w:r>
      <w:r w:rsidR="00F166D6">
        <w:rPr>
          <w:b/>
        </w:rPr>
        <w:t>:</w:t>
      </w:r>
    </w:p>
    <w:p w14:paraId="7F834D9C" w14:textId="762A6086" w:rsidR="00405AAB" w:rsidRPr="00405AAB" w:rsidRDefault="00F77E02" w:rsidP="00402D80">
      <w:pPr>
        <w:pStyle w:val="ListParagraph"/>
        <w:numPr>
          <w:ilvl w:val="1"/>
          <w:numId w:val="38"/>
        </w:numPr>
        <w:spacing w:after="0"/>
        <w:rPr>
          <w:b/>
        </w:rPr>
      </w:pPr>
      <w:r>
        <w:rPr>
          <w:b/>
        </w:rPr>
        <w:t xml:space="preserve">UE specific DRX value </w:t>
      </w:r>
      <w:r w:rsidR="00405AAB" w:rsidRPr="00405AAB">
        <w:rPr>
          <w:b/>
        </w:rPr>
        <w:t>configured by RRC</w:t>
      </w:r>
    </w:p>
    <w:p w14:paraId="1604E2B3" w14:textId="77777777" w:rsidR="002D3AA4" w:rsidRDefault="002D3AA4" w:rsidP="002D3AA4"/>
    <w:p w14:paraId="0F2CFD73" w14:textId="30D73908" w:rsidR="00805ACA" w:rsidRPr="000E3703" w:rsidRDefault="002843A1" w:rsidP="00805ACA">
      <w:pPr>
        <w:pStyle w:val="Heading2"/>
      </w:pPr>
      <w:r>
        <w:t>2.5</w:t>
      </w:r>
      <w:r w:rsidR="00805ACA" w:rsidRPr="000E3703">
        <w:t xml:space="preserve"> </w:t>
      </w:r>
      <w:r w:rsidR="00805ACA">
        <w:t>PTW length range</w:t>
      </w:r>
    </w:p>
    <w:p w14:paraId="0A7BC949" w14:textId="77777777" w:rsidR="00805ACA" w:rsidRDefault="00805ACA" w:rsidP="00805ACA">
      <w:r>
        <w:t>RAN2 should also discuss the range for the PTW length (L) in RedCap. PTW length can take values between 1.28 s and 20.48 s for eMTC and 2.56 s and 40.96 s for NB-IoT. For RedCap, due to the wide range of scenarios and use cases, we can use the combined range of LTE/NB-IoT, i.e. 1.28 s - 40.96 s. This can cover the use cases where minimizing the delay for the paging response is important, such as wearables, as well as the use cases where the power savings is a critical factor, such as industrial sensors. The exact values within this range can be discussed further.</w:t>
      </w:r>
    </w:p>
    <w:p w14:paraId="0568590D" w14:textId="34DD0962" w:rsidR="00805ACA" w:rsidRDefault="00805ACA" w:rsidP="00805ACA">
      <w:pPr>
        <w:rPr>
          <w:b/>
        </w:rPr>
      </w:pPr>
      <w:r w:rsidRPr="000A79DF">
        <w:rPr>
          <w:b/>
        </w:rPr>
        <w:t>Proposal</w:t>
      </w:r>
      <w:r w:rsidR="00FD43FD">
        <w:rPr>
          <w:b/>
        </w:rPr>
        <w:t xml:space="preserve"> 9</w:t>
      </w:r>
      <w:r w:rsidRPr="000A79DF">
        <w:rPr>
          <w:b/>
        </w:rPr>
        <w:t xml:space="preserve">: The minimum and maximum PTW length </w:t>
      </w:r>
      <w:r>
        <w:rPr>
          <w:b/>
        </w:rPr>
        <w:t xml:space="preserve">values </w:t>
      </w:r>
      <w:r w:rsidRPr="000A79DF">
        <w:rPr>
          <w:b/>
        </w:rPr>
        <w:t xml:space="preserve">in RedCap </w:t>
      </w:r>
      <w:r>
        <w:rPr>
          <w:b/>
        </w:rPr>
        <w:t>are</w:t>
      </w:r>
      <w:r w:rsidRPr="000A79DF">
        <w:rPr>
          <w:b/>
        </w:rPr>
        <w:t xml:space="preserve"> 1.28 s and 40.96 s respectively. </w:t>
      </w:r>
      <w:r>
        <w:rPr>
          <w:b/>
        </w:rPr>
        <w:t>Other</w:t>
      </w:r>
      <w:r w:rsidRPr="000A79DF">
        <w:rPr>
          <w:b/>
        </w:rPr>
        <w:t xml:space="preserve"> values within this range are FFS.</w:t>
      </w:r>
    </w:p>
    <w:p w14:paraId="2BAD29C5" w14:textId="77777777" w:rsidR="00B65FFF" w:rsidRPr="00805ACA" w:rsidRDefault="00B65FFF" w:rsidP="00805ACA">
      <w:pPr>
        <w:rPr>
          <w:b/>
        </w:rPr>
      </w:pPr>
    </w:p>
    <w:p w14:paraId="10627777" w14:textId="466AD89B" w:rsidR="007E75DA" w:rsidRDefault="007E75DA" w:rsidP="007E75DA">
      <w:pPr>
        <w:pStyle w:val="Heading2"/>
      </w:pPr>
      <w:r>
        <w:t>2</w:t>
      </w:r>
      <w:r w:rsidR="002843A1">
        <w:t>.6</w:t>
      </w:r>
      <w:r>
        <w:t xml:space="preserve"> Hashed UE ID</w:t>
      </w:r>
    </w:p>
    <w:p w14:paraId="187BE066" w14:textId="7ABAC456" w:rsidR="002A5310" w:rsidRDefault="000A79DF" w:rsidP="000A79DF">
      <w:r>
        <w:t xml:space="preserve">For determining the UE specific eDRX cycle in LTE, </w:t>
      </w:r>
      <w:r w:rsidR="00FC368F">
        <w:t xml:space="preserve">when the UE is connected to 5GC, </w:t>
      </w:r>
      <w:r>
        <w:t xml:space="preserve">a hashed UE ID based on </w:t>
      </w:r>
      <w:r w:rsidRPr="0089195E">
        <w:t xml:space="preserve">5G-S-TMSI </w:t>
      </w:r>
      <w:r w:rsidR="00FC368F">
        <w:t>is used</w:t>
      </w:r>
      <w:r w:rsidR="00A74C02">
        <w:t>. The main reasons for using a H</w:t>
      </w:r>
      <w:r>
        <w:t xml:space="preserve">ashed ID rather than the S-TMSI itself </w:t>
      </w:r>
      <w:r w:rsidR="00DD1119">
        <w:t>are</w:t>
      </w:r>
      <w:r>
        <w:t xml:space="preserve"> randomness and security. </w:t>
      </w:r>
      <w:r w:rsidRPr="0089195E">
        <w:t xml:space="preserve">The UE ID used for determining the PFs/POs during the PTW should be different from the UE ID used for determining the PH/PTW_start. Otherwise, only a subset of PFs will be used in a </w:t>
      </w:r>
      <w:r w:rsidR="00DD1119">
        <w:t>hyper-frame</w:t>
      </w:r>
      <w:r w:rsidRPr="0089195E">
        <w:t>.</w:t>
      </w:r>
      <w:r>
        <w:t xml:space="preserve"> On the other hand, using </w:t>
      </w:r>
      <w:r w:rsidR="00DA2681">
        <w:t>too many</w:t>
      </w:r>
      <w:r>
        <w:t xml:space="preserve"> bits of S-TMSI or IMSI was</w:t>
      </w:r>
      <w:r w:rsidR="002A5310">
        <w:t xml:space="preserve"> considered as a security risk.</w:t>
      </w:r>
      <w:r w:rsidR="00DD1119">
        <w:t xml:space="preserve"> Therefore, a Hashed ID </w:t>
      </w:r>
      <w:r w:rsidR="000A1D46">
        <w:t xml:space="preserve">that is based on an FCS generated from S-TMSI </w:t>
      </w:r>
      <w:r w:rsidR="00DD1119">
        <w:t>was used.</w:t>
      </w:r>
    </w:p>
    <w:p w14:paraId="31AFCDBA" w14:textId="468F6687" w:rsidR="000A79DF" w:rsidRDefault="000A79DF" w:rsidP="000A79DF">
      <w:r>
        <w:t>We think th</w:t>
      </w:r>
      <w:r w:rsidR="002A5310">
        <w:t>at the H</w:t>
      </w:r>
      <w:r>
        <w:t xml:space="preserve">ashed UE ID </w:t>
      </w:r>
      <w:r w:rsidR="00775E10">
        <w:t>calculation</w:t>
      </w:r>
      <w:r>
        <w:t xml:space="preserve"> </w:t>
      </w:r>
      <w:r w:rsidR="002A5310">
        <w:t xml:space="preserve">in LTE </w:t>
      </w:r>
      <w:r>
        <w:t>should be re-used for RedCap, which is already supported by 5GC.</w:t>
      </w:r>
    </w:p>
    <w:p w14:paraId="40741856" w14:textId="1EBDC8A3" w:rsidR="000A79DF" w:rsidRDefault="000A79DF" w:rsidP="000A79DF">
      <w:pPr>
        <w:rPr>
          <w:b/>
        </w:rPr>
      </w:pPr>
      <w:r>
        <w:rPr>
          <w:b/>
        </w:rPr>
        <w:t>Proposal</w:t>
      </w:r>
      <w:r w:rsidR="00FD43FD">
        <w:rPr>
          <w:b/>
        </w:rPr>
        <w:t xml:space="preserve"> 10</w:t>
      </w:r>
      <w:r>
        <w:rPr>
          <w:b/>
        </w:rPr>
        <w:t>: T</w:t>
      </w:r>
      <w:r w:rsidR="002A5310">
        <w:rPr>
          <w:b/>
        </w:rPr>
        <w:t>he H</w:t>
      </w:r>
      <w:r w:rsidRPr="0089195E">
        <w:rPr>
          <w:b/>
        </w:rPr>
        <w:t xml:space="preserve">ashed UE ID </w:t>
      </w:r>
      <w:r w:rsidR="00775E10">
        <w:rPr>
          <w:b/>
        </w:rPr>
        <w:t xml:space="preserve">calculation </w:t>
      </w:r>
      <w:r w:rsidRPr="0089195E">
        <w:rPr>
          <w:b/>
        </w:rPr>
        <w:t xml:space="preserve">from LTE </w:t>
      </w:r>
      <w:r w:rsidR="003F493A">
        <w:rPr>
          <w:b/>
        </w:rPr>
        <w:t xml:space="preserve">(TS 36.304) </w:t>
      </w:r>
      <w:r>
        <w:rPr>
          <w:b/>
        </w:rPr>
        <w:t xml:space="preserve">is re-used </w:t>
      </w:r>
      <w:r w:rsidR="00DD1119">
        <w:rPr>
          <w:b/>
        </w:rPr>
        <w:t>in</w:t>
      </w:r>
      <w:r w:rsidRPr="0089195E">
        <w:rPr>
          <w:b/>
        </w:rPr>
        <w:t xml:space="preserve"> eDRX </w:t>
      </w:r>
      <w:r w:rsidR="00DD1119">
        <w:rPr>
          <w:b/>
        </w:rPr>
        <w:t>calculations</w:t>
      </w:r>
      <w:r w:rsidRPr="0089195E">
        <w:rPr>
          <w:b/>
        </w:rPr>
        <w:t>.</w:t>
      </w:r>
    </w:p>
    <w:p w14:paraId="67818D3F" w14:textId="613BC3A4" w:rsidR="00A528E6" w:rsidRDefault="00A528E6" w:rsidP="0052116F">
      <w:r>
        <w:t>Note: RAN2 can send an LS to SA2/CT to confirm that this is feasible.</w:t>
      </w:r>
    </w:p>
    <w:p w14:paraId="0E92AABF" w14:textId="77777777" w:rsidR="00B65FFF" w:rsidRPr="002B1B05" w:rsidRDefault="00B65FFF" w:rsidP="0052116F"/>
    <w:p w14:paraId="770F01EF" w14:textId="2767299F" w:rsidR="00864A49" w:rsidRDefault="002843A1" w:rsidP="001C3AFF">
      <w:pPr>
        <w:pStyle w:val="Heading2"/>
      </w:pPr>
      <w:r>
        <w:t>2.7</w:t>
      </w:r>
      <w:r w:rsidR="000A79DF">
        <w:rPr>
          <w:b/>
        </w:rPr>
        <w:t xml:space="preserve"> </w:t>
      </w:r>
      <w:r w:rsidR="00864A49">
        <w:t xml:space="preserve">Indication of eDRX </w:t>
      </w:r>
      <w:r w:rsidR="0003544F">
        <w:t>allowed in</w:t>
      </w:r>
      <w:r w:rsidR="00864A49">
        <w:t xml:space="preserve"> the cell</w:t>
      </w:r>
    </w:p>
    <w:p w14:paraId="0DA5A196" w14:textId="4BC60CF2" w:rsidR="0003544F" w:rsidRDefault="00864A49" w:rsidP="00A479CC">
      <w:r>
        <w:t xml:space="preserve">In LTE, whether the eDRX </w:t>
      </w:r>
      <w:r w:rsidR="0003544F">
        <w:t xml:space="preserve">is allowed in a cell </w:t>
      </w:r>
      <w:r>
        <w:t>or no</w:t>
      </w:r>
      <w:r w:rsidR="0003544F">
        <w:t xml:space="preserve">t is indicated by the </w:t>
      </w:r>
      <w:r w:rsidR="0003544F" w:rsidRPr="0003544F">
        <w:rPr>
          <w:i/>
        </w:rPr>
        <w:t>eDRX-Allowed</w:t>
      </w:r>
      <w:r w:rsidR="0003544F">
        <w:t xml:space="preserve"> flag carried in SIB1</w:t>
      </w:r>
      <w:r>
        <w:t>.</w:t>
      </w:r>
      <w:r w:rsidR="0003544F">
        <w:t xml:space="preserve"> The</w:t>
      </w:r>
      <w:r w:rsidR="0003544F" w:rsidRPr="005C2BB7">
        <w:t xml:space="preserve"> UE may operate in extended DRX only if the UE is configured by upper layers and the cell indicates support </w:t>
      </w:r>
      <w:r w:rsidR="000862D0">
        <w:t>for eDRX in System Information.</w:t>
      </w:r>
      <w:r>
        <w:t xml:space="preserve"> </w:t>
      </w:r>
      <w:r w:rsidR="0003544F" w:rsidRPr="000E4E7F">
        <w:rPr>
          <w:lang w:eastAsia="en-GB"/>
        </w:rPr>
        <w:t>The UE stop</w:t>
      </w:r>
      <w:r w:rsidR="0003544F">
        <w:rPr>
          <w:lang w:eastAsia="en-GB"/>
        </w:rPr>
        <w:t>s</w:t>
      </w:r>
      <w:r w:rsidR="0003544F" w:rsidRPr="000E4E7F">
        <w:rPr>
          <w:lang w:eastAsia="en-GB"/>
        </w:rPr>
        <w:t xml:space="preserve"> using extended DRX if </w:t>
      </w:r>
      <w:r w:rsidR="0003544F" w:rsidRPr="000E4E7F">
        <w:rPr>
          <w:i/>
          <w:lang w:eastAsia="en-GB"/>
        </w:rPr>
        <w:t>eDRX-Allowed</w:t>
      </w:r>
      <w:r w:rsidR="0003544F" w:rsidRPr="000E4E7F">
        <w:rPr>
          <w:lang w:eastAsia="en-GB"/>
        </w:rPr>
        <w:t xml:space="preserve"> is not present</w:t>
      </w:r>
      <w:r w:rsidR="00823D46">
        <w:rPr>
          <w:lang w:eastAsia="en-GB"/>
        </w:rPr>
        <w:t xml:space="preserve"> after cell reselection</w:t>
      </w:r>
      <w:r w:rsidR="0003544F">
        <w:t xml:space="preserve">. </w:t>
      </w:r>
      <w:r w:rsidR="00292D88">
        <w:t>On the other hand</w:t>
      </w:r>
      <w:r w:rsidR="00823D46">
        <w:t>, in NB-IoT</w:t>
      </w:r>
      <w:r>
        <w:t xml:space="preserve"> eDRX support is mandatory in the network and therefore a s</w:t>
      </w:r>
      <w:r w:rsidR="0003544F">
        <w:t>eparate flag was not necessary.</w:t>
      </w:r>
    </w:p>
    <w:p w14:paraId="3F592D67" w14:textId="37A5F668" w:rsidR="00637C99" w:rsidRDefault="00FE776C" w:rsidP="00A479CC">
      <w:r>
        <w:t xml:space="preserve">For RedCap, </w:t>
      </w:r>
      <w:r w:rsidR="00637C99">
        <w:t>two options can be considered:</w:t>
      </w:r>
    </w:p>
    <w:p w14:paraId="7FC235CC" w14:textId="6F316D53" w:rsidR="00864A49" w:rsidRDefault="00637C99" w:rsidP="00A479CC">
      <w:pPr>
        <w:pStyle w:val="ListParagraph"/>
        <w:numPr>
          <w:ilvl w:val="0"/>
          <w:numId w:val="24"/>
        </w:numPr>
      </w:pPr>
      <w:r>
        <w:t>N</w:t>
      </w:r>
      <w:r w:rsidR="00FE776C">
        <w:t>ot all NR</w:t>
      </w:r>
      <w:r>
        <w:t xml:space="preserve"> RedCap</w:t>
      </w:r>
      <w:r w:rsidR="00FE776C">
        <w:t xml:space="preserve"> cells</w:t>
      </w:r>
      <w:r w:rsidR="00823D46">
        <w:t xml:space="preserve"> </w:t>
      </w:r>
      <w:r w:rsidR="00F16682">
        <w:t xml:space="preserve">support eDRX. </w:t>
      </w:r>
      <w:r>
        <w:t>A</w:t>
      </w:r>
      <w:r w:rsidR="00FE776C">
        <w:t xml:space="preserve"> flag</w:t>
      </w:r>
      <w:r w:rsidR="00F16682">
        <w:t xml:space="preserve"> in system information</w:t>
      </w:r>
      <w:r w:rsidR="00FE776C">
        <w:t xml:space="preserve"> </w:t>
      </w:r>
      <w:r>
        <w:t>is needed</w:t>
      </w:r>
      <w:r w:rsidR="00FE776C">
        <w:t xml:space="preserve"> to indicate </w:t>
      </w:r>
      <w:r w:rsidR="00F16682">
        <w:t>whether a cell supports eDRX or not</w:t>
      </w:r>
      <w:r w:rsidR="00FE776C">
        <w:t>.</w:t>
      </w:r>
      <w:r>
        <w:t xml:space="preserve"> This could be broadcast in system information as in eMTC, e.g. in SIB1. When the UE moves to a cell that does not support eDRX, it stops the eDRX operation, if configured.</w:t>
      </w:r>
    </w:p>
    <w:p w14:paraId="18EE7C66" w14:textId="06540E0F" w:rsidR="00637C99" w:rsidRDefault="00637C99" w:rsidP="00A479CC">
      <w:pPr>
        <w:pStyle w:val="ListParagraph"/>
        <w:numPr>
          <w:ilvl w:val="0"/>
          <w:numId w:val="24"/>
        </w:numPr>
      </w:pPr>
      <w:r>
        <w:t>All RedCap cells have to support eDRX. In this case a flag on cell basis in system information is not needed. Note however that forcing all RedCap cells to support eDRX might limit deployment options.</w:t>
      </w:r>
    </w:p>
    <w:p w14:paraId="3D2C830E" w14:textId="71C6D0BE" w:rsidR="00EB4572" w:rsidRDefault="00EB4572" w:rsidP="00EB4572">
      <w:pPr>
        <w:spacing w:after="0"/>
        <w:rPr>
          <w:b/>
        </w:rPr>
      </w:pPr>
      <w:r w:rsidRPr="0003544F">
        <w:rPr>
          <w:b/>
        </w:rPr>
        <w:t>Proposal</w:t>
      </w:r>
      <w:r w:rsidR="00FD43FD">
        <w:rPr>
          <w:b/>
        </w:rPr>
        <w:t xml:space="preserve"> 11</w:t>
      </w:r>
      <w:r w:rsidRPr="0003544F">
        <w:rPr>
          <w:b/>
        </w:rPr>
        <w:t xml:space="preserve">: </w:t>
      </w:r>
      <w:r>
        <w:rPr>
          <w:b/>
        </w:rPr>
        <w:t>RAN2 to select from one of the following options regarding the eDRX support in a RedCap cell:</w:t>
      </w:r>
    </w:p>
    <w:p w14:paraId="6FAC850D" w14:textId="77777777" w:rsidR="00EB4572" w:rsidRPr="00DC7B11" w:rsidRDefault="00EB4572" w:rsidP="00EB4572">
      <w:pPr>
        <w:pStyle w:val="ListParagraph"/>
        <w:numPr>
          <w:ilvl w:val="0"/>
          <w:numId w:val="32"/>
        </w:numPr>
        <w:spacing w:after="0"/>
        <w:rPr>
          <w:b/>
        </w:rPr>
      </w:pPr>
      <w:r w:rsidRPr="00DC7B11">
        <w:rPr>
          <w:b/>
        </w:rPr>
        <w:t>Not all RedCap cells support eDRX operation and if supported it is indicated by a flag (e.g. eDRX-Allowed) in SIB1. When the UE moves to a cell that does not support eDRX, it stops the eDRX operation.</w:t>
      </w:r>
    </w:p>
    <w:p w14:paraId="4879432D" w14:textId="4E42A668" w:rsidR="00EB4572" w:rsidRPr="00DC7B11" w:rsidRDefault="00EB4572" w:rsidP="00EB4572">
      <w:pPr>
        <w:pStyle w:val="ListParagraph"/>
        <w:numPr>
          <w:ilvl w:val="0"/>
          <w:numId w:val="32"/>
        </w:numPr>
        <w:spacing w:after="0"/>
        <w:rPr>
          <w:b/>
        </w:rPr>
      </w:pPr>
      <w:r>
        <w:rPr>
          <w:b/>
        </w:rPr>
        <w:t xml:space="preserve">All RedCap cells support eDRX operation (eDRX allowed flag is </w:t>
      </w:r>
      <w:r w:rsidR="006E661B">
        <w:rPr>
          <w:b/>
        </w:rPr>
        <w:t xml:space="preserve">not </w:t>
      </w:r>
      <w:r>
        <w:rPr>
          <w:b/>
        </w:rPr>
        <w:t>needed in system information).</w:t>
      </w:r>
    </w:p>
    <w:p w14:paraId="7F9C2388" w14:textId="77777777" w:rsidR="001F19D3" w:rsidRDefault="001F19D3" w:rsidP="0052116F"/>
    <w:p w14:paraId="780F0EFF" w14:textId="77777777" w:rsidR="0031708C" w:rsidRPr="0052116F" w:rsidRDefault="0031708C" w:rsidP="0052116F"/>
    <w:p w14:paraId="32CC21C6" w14:textId="7FEF2F6F" w:rsidR="00DF68E7" w:rsidRPr="00D46A4D" w:rsidRDefault="0030648E" w:rsidP="00161FA7">
      <w:pPr>
        <w:pStyle w:val="Heading1"/>
      </w:pPr>
      <w:r w:rsidRPr="00D46A4D">
        <w:t>3</w:t>
      </w:r>
      <w:r w:rsidR="00D76DB5" w:rsidRPr="00D46A4D">
        <w:t xml:space="preserve"> Conclusion</w:t>
      </w:r>
    </w:p>
    <w:p w14:paraId="435E9E85" w14:textId="1FF43D4B" w:rsidR="00F77E02" w:rsidRPr="002361BE" w:rsidRDefault="002361BE" w:rsidP="00B166DB">
      <w:r w:rsidRPr="002361BE">
        <w:t xml:space="preserve">In this contribution, we discuss </w:t>
      </w:r>
      <w:r w:rsidR="0052673B">
        <w:t>some remaining issues</w:t>
      </w:r>
      <w:r w:rsidRPr="002361BE">
        <w:t xml:space="preserve"> for </w:t>
      </w:r>
      <w:r w:rsidR="0052673B">
        <w:t xml:space="preserve">supporting </w:t>
      </w:r>
      <w:r w:rsidRPr="002361BE">
        <w:t>eDRX</w:t>
      </w:r>
      <w:r w:rsidR="005B0646">
        <w:t xml:space="preserve"> </w:t>
      </w:r>
      <w:r w:rsidRPr="002361BE">
        <w:t>in RedCap and have the following proposals</w:t>
      </w:r>
      <w:r w:rsidR="00F77E02">
        <w:t xml:space="preserve"> and observation</w:t>
      </w:r>
      <w:r w:rsidRPr="002361BE">
        <w:t>:</w:t>
      </w:r>
    </w:p>
    <w:p w14:paraId="2F0E3CCB" w14:textId="77777777" w:rsidR="00F77E02" w:rsidRDefault="00F77E02" w:rsidP="00F77E02">
      <w:pPr>
        <w:spacing w:after="0"/>
        <w:rPr>
          <w:b/>
        </w:rPr>
      </w:pPr>
      <w:r w:rsidRPr="000A79DF">
        <w:rPr>
          <w:b/>
        </w:rPr>
        <w:t>Proposal</w:t>
      </w:r>
      <w:r>
        <w:rPr>
          <w:b/>
        </w:rPr>
        <w:t xml:space="preserve"> 1</w:t>
      </w:r>
      <w:r w:rsidRPr="000A79DF">
        <w:rPr>
          <w:b/>
        </w:rPr>
        <w:t xml:space="preserve">: </w:t>
      </w:r>
      <w:r>
        <w:rPr>
          <w:b/>
        </w:rPr>
        <w:t>RAN2 to select from the following options regarding the PTW_start positions:</w:t>
      </w:r>
    </w:p>
    <w:p w14:paraId="503F0BBD" w14:textId="77777777" w:rsidR="00F77E02" w:rsidRDefault="00F77E02" w:rsidP="00F77E02">
      <w:pPr>
        <w:pStyle w:val="ListParagraph"/>
        <w:numPr>
          <w:ilvl w:val="0"/>
          <w:numId w:val="43"/>
        </w:numPr>
        <w:spacing w:after="0"/>
        <w:rPr>
          <w:b/>
        </w:rPr>
      </w:pPr>
      <w:r>
        <w:rPr>
          <w:b/>
        </w:rPr>
        <w:t>Configurable</w:t>
      </w:r>
      <w:r w:rsidRPr="000A79DF">
        <w:rPr>
          <w:b/>
        </w:rPr>
        <w:t xml:space="preserve"> b</w:t>
      </w:r>
      <w:r>
        <w:rPr>
          <w:b/>
        </w:rPr>
        <w:t>y the network</w:t>
      </w:r>
    </w:p>
    <w:p w14:paraId="1DB24341" w14:textId="77777777" w:rsidR="00F77E02" w:rsidRDefault="00F77E02" w:rsidP="00F77E02">
      <w:pPr>
        <w:pStyle w:val="ListParagraph"/>
        <w:numPr>
          <w:ilvl w:val="0"/>
          <w:numId w:val="43"/>
        </w:numPr>
        <w:spacing w:after="0"/>
        <w:rPr>
          <w:b/>
        </w:rPr>
      </w:pPr>
      <w:r>
        <w:rPr>
          <w:b/>
        </w:rPr>
        <w:t>Fixed to multiples of 128 SFNs</w:t>
      </w:r>
    </w:p>
    <w:p w14:paraId="5ACAD62D" w14:textId="77777777" w:rsidR="00F77E02" w:rsidRPr="00DC7B11" w:rsidRDefault="00F77E02" w:rsidP="00F77E02">
      <w:pPr>
        <w:pStyle w:val="ListParagraph"/>
        <w:numPr>
          <w:ilvl w:val="0"/>
          <w:numId w:val="43"/>
        </w:numPr>
        <w:spacing w:after="0"/>
        <w:rPr>
          <w:b/>
        </w:rPr>
      </w:pPr>
      <w:r w:rsidRPr="00DC7B11">
        <w:rPr>
          <w:b/>
        </w:rPr>
        <w:t>Fixed to mul</w:t>
      </w:r>
      <w:r>
        <w:rPr>
          <w:b/>
        </w:rPr>
        <w:t>tiples of 256 SFNs as in LTE (with</w:t>
      </w:r>
      <w:r w:rsidRPr="00DC7B11">
        <w:rPr>
          <w:b/>
        </w:rPr>
        <w:t xml:space="preserve"> a potential cost of </w:t>
      </w:r>
      <w:r>
        <w:rPr>
          <w:b/>
        </w:rPr>
        <w:t>non-uniform distribution of POs)</w:t>
      </w:r>
    </w:p>
    <w:p w14:paraId="0887D89B" w14:textId="77777777" w:rsidR="00775E10" w:rsidRDefault="00775E10" w:rsidP="00B166DB">
      <w:pPr>
        <w:rPr>
          <w:b/>
        </w:rPr>
      </w:pPr>
    </w:p>
    <w:p w14:paraId="77663F79" w14:textId="4B4338A2" w:rsidR="00F77E02" w:rsidRDefault="00F77E02" w:rsidP="00B166DB">
      <w:pPr>
        <w:rPr>
          <w:b/>
        </w:rPr>
      </w:pPr>
      <w:r>
        <w:rPr>
          <w:b/>
        </w:rPr>
        <w:t>Observation 1</w:t>
      </w:r>
      <w:r w:rsidRPr="00805ACA">
        <w:rPr>
          <w:b/>
        </w:rPr>
        <w:t xml:space="preserve">: If PTW_start positions </w:t>
      </w:r>
      <w:r>
        <w:rPr>
          <w:b/>
        </w:rPr>
        <w:t xml:space="preserve">in RedCap </w:t>
      </w:r>
      <w:r w:rsidRPr="00805ACA">
        <w:rPr>
          <w:b/>
        </w:rPr>
        <w:t>are determined based on a</w:t>
      </w:r>
      <w:r>
        <w:rPr>
          <w:b/>
        </w:rPr>
        <w:t>n</w:t>
      </w:r>
      <w:r w:rsidRPr="00805ACA">
        <w:rPr>
          <w:b/>
        </w:rPr>
        <w:t xml:space="preserve"> </w:t>
      </w:r>
      <w:r>
        <w:rPr>
          <w:b/>
        </w:rPr>
        <w:t>equation</w:t>
      </w:r>
      <w:r w:rsidRPr="00805ACA">
        <w:rPr>
          <w:b/>
        </w:rPr>
        <w:t xml:space="preserve"> as in LTE, the</w:t>
      </w:r>
      <w:r>
        <w:rPr>
          <w:b/>
        </w:rPr>
        <w:t xml:space="preserve"> same</w:t>
      </w:r>
      <w:r w:rsidRPr="00805ACA">
        <w:rPr>
          <w:b/>
        </w:rPr>
        <w:t xml:space="preserve"> T</w:t>
      </w:r>
      <w:r>
        <w:rPr>
          <w:b/>
          <w:vertAlign w:val="subscript"/>
        </w:rPr>
        <w:t>eDRX,</w:t>
      </w:r>
      <w:r w:rsidRPr="00805ACA">
        <w:rPr>
          <w:b/>
          <w:vertAlign w:val="subscript"/>
        </w:rPr>
        <w:t>H</w:t>
      </w:r>
      <w:r w:rsidRPr="00805ACA">
        <w:rPr>
          <w:b/>
        </w:rPr>
        <w:t xml:space="preserve"> value should be </w:t>
      </w:r>
      <w:r>
        <w:rPr>
          <w:b/>
        </w:rPr>
        <w:t>used</w:t>
      </w:r>
      <w:r w:rsidRPr="00805ACA">
        <w:rPr>
          <w:b/>
        </w:rPr>
        <w:t xml:space="preserve"> </w:t>
      </w:r>
      <w:r>
        <w:rPr>
          <w:b/>
        </w:rPr>
        <w:t>when determining</w:t>
      </w:r>
      <w:r w:rsidRPr="00805ACA">
        <w:rPr>
          <w:b/>
        </w:rPr>
        <w:t xml:space="preserve"> CN and RAN PTW</w:t>
      </w:r>
      <w:r>
        <w:rPr>
          <w:b/>
        </w:rPr>
        <w:t>_start position</w:t>
      </w:r>
      <w:r w:rsidRPr="00805ACA">
        <w:rPr>
          <w:b/>
        </w:rPr>
        <w:t>s.</w:t>
      </w:r>
    </w:p>
    <w:p w14:paraId="45EA5ECA" w14:textId="77777777" w:rsidR="00F77E02" w:rsidRDefault="00F77E02" w:rsidP="00F77E02">
      <w:r w:rsidRPr="00805ACA">
        <w:rPr>
          <w:b/>
        </w:rPr>
        <w:t>Proposal</w:t>
      </w:r>
      <w:r>
        <w:rPr>
          <w:b/>
        </w:rPr>
        <w:t xml:space="preserve"> 2</w:t>
      </w:r>
      <w:r w:rsidRPr="00805ACA">
        <w:rPr>
          <w:b/>
        </w:rPr>
        <w:t xml:space="preserve">: If PTW_start positions </w:t>
      </w:r>
      <w:r>
        <w:rPr>
          <w:b/>
        </w:rPr>
        <w:t xml:space="preserve">in RedCap </w:t>
      </w:r>
      <w:r w:rsidRPr="00805ACA">
        <w:rPr>
          <w:b/>
        </w:rPr>
        <w:t>are determined based on a</w:t>
      </w:r>
      <w:r>
        <w:rPr>
          <w:b/>
        </w:rPr>
        <w:t>n equation</w:t>
      </w:r>
      <w:r w:rsidRPr="00805ACA">
        <w:rPr>
          <w:b/>
        </w:rPr>
        <w:t xml:space="preserve"> </w:t>
      </w:r>
      <w:r>
        <w:rPr>
          <w:b/>
        </w:rPr>
        <w:t>similar to</w:t>
      </w:r>
      <w:r w:rsidRPr="00805ACA">
        <w:rPr>
          <w:b/>
        </w:rPr>
        <w:t xml:space="preserve"> LTE,</w:t>
      </w:r>
      <w:r>
        <w:rPr>
          <w:b/>
        </w:rPr>
        <w:t xml:space="preserve"> the </w:t>
      </w:r>
      <w:r w:rsidRPr="00805ACA">
        <w:rPr>
          <w:b/>
        </w:rPr>
        <w:t>T</w:t>
      </w:r>
      <w:r w:rsidRPr="00805ACA">
        <w:rPr>
          <w:b/>
          <w:vertAlign w:val="subscript"/>
        </w:rPr>
        <w:t>eDRX_H</w:t>
      </w:r>
      <w:r w:rsidRPr="00805ACA">
        <w:rPr>
          <w:b/>
        </w:rPr>
        <w:t xml:space="preserve"> value</w:t>
      </w:r>
      <w:r>
        <w:rPr>
          <w:b/>
        </w:rPr>
        <w:t xml:space="preserve"> configured by CN should be used in the PTW_start equation for both CN and RAN PTWs.</w:t>
      </w:r>
    </w:p>
    <w:p w14:paraId="7C127DFE" w14:textId="77777777" w:rsidR="00F77E02" w:rsidRPr="001C3AFF" w:rsidRDefault="00F77E02" w:rsidP="00F77E02">
      <w:r w:rsidRPr="00805ACA">
        <w:rPr>
          <w:b/>
        </w:rPr>
        <w:t>Proposal</w:t>
      </w:r>
      <w:r>
        <w:rPr>
          <w:b/>
        </w:rPr>
        <w:t xml:space="preserve"> 3</w:t>
      </w:r>
      <w:r w:rsidRPr="00805ACA">
        <w:rPr>
          <w:b/>
        </w:rPr>
        <w:t xml:space="preserve">: If PTW_start positions </w:t>
      </w:r>
      <w:r>
        <w:rPr>
          <w:b/>
        </w:rPr>
        <w:t xml:space="preserve">in RedCap </w:t>
      </w:r>
      <w:r w:rsidRPr="00805ACA">
        <w:rPr>
          <w:b/>
        </w:rPr>
        <w:t xml:space="preserve">are </w:t>
      </w:r>
      <w:r>
        <w:rPr>
          <w:b/>
        </w:rPr>
        <w:t>configured by the network</w:t>
      </w:r>
      <w:r w:rsidRPr="00805ACA">
        <w:rPr>
          <w:b/>
        </w:rPr>
        <w:t>,</w:t>
      </w:r>
      <w:r>
        <w:rPr>
          <w:b/>
        </w:rPr>
        <w:t xml:space="preserve"> the configuration by CN should be used for calculating both CN and RAN PTW start positions (i.e. no need for RAN to provide a separate configuration).</w:t>
      </w:r>
    </w:p>
    <w:p w14:paraId="41CACDFF" w14:textId="77777777" w:rsidR="00F77E02" w:rsidRDefault="00F77E02" w:rsidP="00F77E02">
      <w:pPr>
        <w:spacing w:after="0"/>
        <w:rPr>
          <w:b/>
        </w:rPr>
      </w:pPr>
      <w:r w:rsidRPr="002D3AA4">
        <w:rPr>
          <w:b/>
        </w:rPr>
        <w:t>Proposal</w:t>
      </w:r>
      <w:r>
        <w:rPr>
          <w:b/>
        </w:rPr>
        <w:t xml:space="preserve"> 4</w:t>
      </w:r>
      <w:r w:rsidRPr="002D3AA4">
        <w:rPr>
          <w:b/>
        </w:rPr>
        <w:t xml:space="preserve">: </w:t>
      </w:r>
      <w:r>
        <w:rPr>
          <w:b/>
        </w:rPr>
        <w:t>In</w:t>
      </w:r>
      <w:r w:rsidRPr="00F166D6">
        <w:rPr>
          <w:b/>
        </w:rPr>
        <w:t xml:space="preserve"> RRC_INACTIVE</w:t>
      </w:r>
      <w:r>
        <w:rPr>
          <w:b/>
        </w:rPr>
        <w:t xml:space="preserve"> mode, if the</w:t>
      </w:r>
      <w:r w:rsidRPr="002D3AA4">
        <w:rPr>
          <w:b/>
        </w:rPr>
        <w:t xml:space="preserve"> </w:t>
      </w:r>
      <w:r>
        <w:rPr>
          <w:b/>
        </w:rPr>
        <w:t xml:space="preserve">CN </w:t>
      </w:r>
      <w:r w:rsidRPr="002D3AA4">
        <w:rPr>
          <w:b/>
        </w:rPr>
        <w:t xml:space="preserve">eDRX cycle </w:t>
      </w:r>
      <w:r>
        <w:rPr>
          <w:b/>
        </w:rPr>
        <w:t>is ≤</w:t>
      </w:r>
      <w:r w:rsidRPr="002D3AA4">
        <w:rPr>
          <w:b/>
        </w:rPr>
        <w:t xml:space="preserve"> 10.24 s,</w:t>
      </w:r>
      <w:r>
        <w:rPr>
          <w:b/>
        </w:rPr>
        <w:t xml:space="preserve"> and eDRX is not configured by RAN,</w:t>
      </w:r>
      <w:r w:rsidRPr="002D3AA4">
        <w:rPr>
          <w:b/>
        </w:rPr>
        <w:t xml:space="preserve"> T (DRX cycle of the UE) is </w:t>
      </w:r>
      <w:r>
        <w:rPr>
          <w:b/>
        </w:rPr>
        <w:t>equal to:</w:t>
      </w:r>
    </w:p>
    <w:p w14:paraId="1C4D7865" w14:textId="77777777" w:rsidR="00F77E02" w:rsidRDefault="00F77E02" w:rsidP="00F77E02">
      <w:pPr>
        <w:pStyle w:val="ListParagraph"/>
        <w:numPr>
          <w:ilvl w:val="0"/>
          <w:numId w:val="41"/>
        </w:numPr>
        <w:spacing w:after="0"/>
        <w:rPr>
          <w:b/>
        </w:rPr>
      </w:pPr>
      <w:r>
        <w:rPr>
          <w:b/>
        </w:rPr>
        <w:t>UE specific DRX value configured by RRC</w:t>
      </w:r>
    </w:p>
    <w:p w14:paraId="49AE7C7B" w14:textId="77777777" w:rsidR="00F77E02" w:rsidRDefault="00F77E02" w:rsidP="00B166DB">
      <w:pPr>
        <w:rPr>
          <w:b/>
        </w:rPr>
      </w:pPr>
    </w:p>
    <w:p w14:paraId="06B7DB39" w14:textId="77777777" w:rsidR="00F77E02" w:rsidRDefault="00F77E02" w:rsidP="00F77E02">
      <w:pPr>
        <w:spacing w:after="0"/>
        <w:rPr>
          <w:b/>
        </w:rPr>
      </w:pPr>
      <w:r w:rsidRPr="002D3AA4">
        <w:rPr>
          <w:b/>
        </w:rPr>
        <w:t>Proposal</w:t>
      </w:r>
      <w:r>
        <w:rPr>
          <w:b/>
        </w:rPr>
        <w:t xml:space="preserve"> 5</w:t>
      </w:r>
      <w:r w:rsidRPr="002D3AA4">
        <w:rPr>
          <w:b/>
        </w:rPr>
        <w:t xml:space="preserve">: </w:t>
      </w:r>
      <w:r>
        <w:rPr>
          <w:b/>
        </w:rPr>
        <w:t>In</w:t>
      </w:r>
      <w:r w:rsidRPr="00F166D6">
        <w:rPr>
          <w:b/>
        </w:rPr>
        <w:t xml:space="preserve"> RRC_INACTIVE</w:t>
      </w:r>
      <w:r>
        <w:rPr>
          <w:b/>
        </w:rPr>
        <w:t xml:space="preserve"> mode, if the</w:t>
      </w:r>
      <w:r w:rsidRPr="002D3AA4">
        <w:rPr>
          <w:b/>
        </w:rPr>
        <w:t xml:space="preserve"> </w:t>
      </w:r>
      <w:r>
        <w:rPr>
          <w:b/>
        </w:rPr>
        <w:t xml:space="preserve">CN </w:t>
      </w:r>
      <w:r w:rsidRPr="002D3AA4">
        <w:rPr>
          <w:b/>
        </w:rPr>
        <w:t xml:space="preserve">eDRX cycle </w:t>
      </w:r>
      <w:r>
        <w:rPr>
          <w:b/>
        </w:rPr>
        <w:t>is &gt;</w:t>
      </w:r>
      <w:r w:rsidRPr="002D3AA4">
        <w:rPr>
          <w:b/>
        </w:rPr>
        <w:t xml:space="preserve"> 10.24 s,</w:t>
      </w:r>
      <w:r>
        <w:rPr>
          <w:b/>
        </w:rPr>
        <w:t xml:space="preserve"> and eDRX is not configured by RAN:</w:t>
      </w:r>
    </w:p>
    <w:p w14:paraId="5661C697" w14:textId="77777777" w:rsidR="00F77E02" w:rsidRDefault="00F77E02" w:rsidP="00F77E02">
      <w:pPr>
        <w:spacing w:after="0"/>
        <w:rPr>
          <w:b/>
        </w:rPr>
      </w:pPr>
      <w:r>
        <w:rPr>
          <w:b/>
        </w:rPr>
        <w:tab/>
        <w:t xml:space="preserve">During the CN PTW, </w:t>
      </w:r>
      <w:r w:rsidRPr="00F166D6">
        <w:rPr>
          <w:b/>
        </w:rPr>
        <w:t>T (DRX cycle of the UE) is determined by the shortest of</w:t>
      </w:r>
      <w:r>
        <w:rPr>
          <w:b/>
        </w:rPr>
        <w:t>:</w:t>
      </w:r>
    </w:p>
    <w:p w14:paraId="000C6122" w14:textId="77777777" w:rsidR="00F77E02" w:rsidRPr="00BD24DC" w:rsidRDefault="00F77E02" w:rsidP="00F77E02">
      <w:pPr>
        <w:pStyle w:val="ListParagraph"/>
        <w:numPr>
          <w:ilvl w:val="1"/>
          <w:numId w:val="37"/>
        </w:numPr>
        <w:spacing w:after="0"/>
        <w:rPr>
          <w:b/>
        </w:rPr>
      </w:pPr>
      <w:r w:rsidRPr="00BD24DC">
        <w:rPr>
          <w:b/>
        </w:rPr>
        <w:t>Default DRX value</w:t>
      </w:r>
    </w:p>
    <w:p w14:paraId="75F6F365" w14:textId="77777777" w:rsidR="00F77E02" w:rsidRPr="00BD24DC" w:rsidRDefault="00F77E02" w:rsidP="00F77E02">
      <w:pPr>
        <w:pStyle w:val="ListParagraph"/>
        <w:numPr>
          <w:ilvl w:val="1"/>
          <w:numId w:val="37"/>
        </w:numPr>
        <w:spacing w:after="0"/>
        <w:rPr>
          <w:b/>
        </w:rPr>
      </w:pPr>
      <w:r w:rsidRPr="00BD24DC">
        <w:rPr>
          <w:b/>
        </w:rPr>
        <w:t>UE specific DRX value(s), if configured by RRC and/or upper layers</w:t>
      </w:r>
    </w:p>
    <w:p w14:paraId="1DE463AE" w14:textId="77777777" w:rsidR="00F77E02" w:rsidRDefault="00F77E02" w:rsidP="00F77E02">
      <w:pPr>
        <w:spacing w:after="0"/>
        <w:rPr>
          <w:b/>
        </w:rPr>
      </w:pPr>
      <w:r>
        <w:rPr>
          <w:b/>
        </w:rPr>
        <w:tab/>
        <w:t xml:space="preserve">Outside the CN PTW, T </w:t>
      </w:r>
      <w:r w:rsidRPr="00F166D6">
        <w:rPr>
          <w:b/>
        </w:rPr>
        <w:t xml:space="preserve">is </w:t>
      </w:r>
      <w:r>
        <w:rPr>
          <w:b/>
        </w:rPr>
        <w:t>equal to:</w:t>
      </w:r>
    </w:p>
    <w:p w14:paraId="5DD0C062" w14:textId="77777777" w:rsidR="00F77E02" w:rsidRPr="00BD24DC" w:rsidRDefault="00F77E02" w:rsidP="00F77E02">
      <w:pPr>
        <w:pStyle w:val="ListParagraph"/>
        <w:numPr>
          <w:ilvl w:val="1"/>
          <w:numId w:val="42"/>
        </w:numPr>
        <w:spacing w:after="0"/>
        <w:rPr>
          <w:b/>
        </w:rPr>
      </w:pPr>
      <w:r>
        <w:rPr>
          <w:b/>
        </w:rPr>
        <w:t xml:space="preserve">UE specific DRX value </w:t>
      </w:r>
      <w:r w:rsidRPr="00BD24DC">
        <w:rPr>
          <w:b/>
        </w:rPr>
        <w:t>configured by RRC</w:t>
      </w:r>
    </w:p>
    <w:p w14:paraId="289DF799" w14:textId="77777777" w:rsidR="00F77E02" w:rsidRDefault="00F77E02" w:rsidP="00B166DB">
      <w:pPr>
        <w:rPr>
          <w:b/>
        </w:rPr>
      </w:pPr>
    </w:p>
    <w:p w14:paraId="4EEA3993" w14:textId="77777777" w:rsidR="00F77E02" w:rsidRDefault="00F77E02" w:rsidP="00F77E02">
      <w:pPr>
        <w:spacing w:after="0"/>
        <w:rPr>
          <w:b/>
        </w:rPr>
      </w:pPr>
      <w:r w:rsidRPr="002D3AA4">
        <w:rPr>
          <w:b/>
        </w:rPr>
        <w:t>Proposal</w:t>
      </w:r>
      <w:r>
        <w:rPr>
          <w:b/>
        </w:rPr>
        <w:t xml:space="preserve"> 6</w:t>
      </w:r>
      <w:r w:rsidRPr="002D3AA4">
        <w:rPr>
          <w:b/>
        </w:rPr>
        <w:t xml:space="preserve">: </w:t>
      </w:r>
      <w:r>
        <w:rPr>
          <w:b/>
        </w:rPr>
        <w:t>In</w:t>
      </w:r>
      <w:r w:rsidRPr="00F166D6">
        <w:rPr>
          <w:b/>
        </w:rPr>
        <w:t xml:space="preserve"> RRC_INACTIVE</w:t>
      </w:r>
      <w:r>
        <w:rPr>
          <w:b/>
        </w:rPr>
        <w:t xml:space="preserve"> mode, if both</w:t>
      </w:r>
      <w:r w:rsidRPr="002D3AA4">
        <w:rPr>
          <w:b/>
        </w:rPr>
        <w:t xml:space="preserve"> </w:t>
      </w:r>
      <w:r>
        <w:rPr>
          <w:b/>
        </w:rPr>
        <w:t xml:space="preserve">CN and RAN </w:t>
      </w:r>
      <w:r w:rsidRPr="002D3AA4">
        <w:rPr>
          <w:b/>
        </w:rPr>
        <w:t>eDRX cycle</w:t>
      </w:r>
      <w:r>
        <w:rPr>
          <w:b/>
        </w:rPr>
        <w:t>s</w:t>
      </w:r>
      <w:r w:rsidRPr="002D3AA4">
        <w:rPr>
          <w:b/>
        </w:rPr>
        <w:t xml:space="preserve"> </w:t>
      </w:r>
      <w:r>
        <w:rPr>
          <w:b/>
        </w:rPr>
        <w:t>are ≤</w:t>
      </w:r>
      <w:r w:rsidRPr="002D3AA4">
        <w:rPr>
          <w:b/>
        </w:rPr>
        <w:t xml:space="preserve"> 10.24 s, T (DRX cycle of the UE) is </w:t>
      </w:r>
      <w:r>
        <w:rPr>
          <w:b/>
        </w:rPr>
        <w:t>determined by the shortest of:</w:t>
      </w:r>
    </w:p>
    <w:p w14:paraId="0AAF93FF" w14:textId="77777777" w:rsidR="00F77E02" w:rsidRPr="00623F0A" w:rsidRDefault="00F77E02" w:rsidP="00F77E02">
      <w:pPr>
        <w:pStyle w:val="ListParagraph"/>
        <w:numPr>
          <w:ilvl w:val="0"/>
          <w:numId w:val="41"/>
        </w:numPr>
        <w:spacing w:after="0"/>
        <w:rPr>
          <w:b/>
        </w:rPr>
      </w:pPr>
      <w:r>
        <w:rPr>
          <w:b/>
        </w:rPr>
        <w:t>CN eDRX cycle</w:t>
      </w:r>
    </w:p>
    <w:p w14:paraId="0CCD5E14" w14:textId="77777777" w:rsidR="00F77E02" w:rsidRDefault="00F77E02" w:rsidP="00F77E02">
      <w:pPr>
        <w:pStyle w:val="ListParagraph"/>
        <w:numPr>
          <w:ilvl w:val="0"/>
          <w:numId w:val="41"/>
        </w:numPr>
        <w:spacing w:after="0"/>
        <w:rPr>
          <w:b/>
        </w:rPr>
      </w:pPr>
      <w:r>
        <w:rPr>
          <w:b/>
        </w:rPr>
        <w:t>RAN eDRX cycle</w:t>
      </w:r>
    </w:p>
    <w:p w14:paraId="2C7155F5" w14:textId="77777777" w:rsidR="00F77E02" w:rsidRDefault="00F77E02" w:rsidP="00B166DB">
      <w:pPr>
        <w:rPr>
          <w:b/>
        </w:rPr>
      </w:pPr>
    </w:p>
    <w:p w14:paraId="359D29DD" w14:textId="77777777" w:rsidR="00F77E02" w:rsidRDefault="00F77E02" w:rsidP="00F77E02">
      <w:pPr>
        <w:spacing w:after="0"/>
        <w:rPr>
          <w:b/>
        </w:rPr>
      </w:pPr>
      <w:r w:rsidRPr="00CC15E2">
        <w:rPr>
          <w:b/>
        </w:rPr>
        <w:t>Proposal</w:t>
      </w:r>
      <w:r>
        <w:rPr>
          <w:b/>
        </w:rPr>
        <w:t xml:space="preserve"> 7</w:t>
      </w:r>
      <w:r w:rsidRPr="00CC15E2">
        <w:rPr>
          <w:b/>
        </w:rPr>
        <w:t>: In</w:t>
      </w:r>
      <w:r w:rsidRPr="00F166D6">
        <w:rPr>
          <w:b/>
        </w:rPr>
        <w:t xml:space="preserve"> RRC_INACTIVE</w:t>
      </w:r>
      <w:r>
        <w:rPr>
          <w:b/>
        </w:rPr>
        <w:t xml:space="preserve"> mode, if the CN</w:t>
      </w:r>
      <w:r w:rsidRPr="002D3AA4">
        <w:rPr>
          <w:b/>
        </w:rPr>
        <w:t xml:space="preserve"> eDRX cycle </w:t>
      </w:r>
      <w:r>
        <w:rPr>
          <w:b/>
        </w:rPr>
        <w:t>is &gt; 10.24 s and the RAN</w:t>
      </w:r>
      <w:r w:rsidRPr="002D3AA4">
        <w:rPr>
          <w:b/>
        </w:rPr>
        <w:t xml:space="preserve"> eDRX cycle </w:t>
      </w:r>
      <w:r>
        <w:rPr>
          <w:b/>
        </w:rPr>
        <w:t>is ≤</w:t>
      </w:r>
      <w:r w:rsidRPr="002D3AA4">
        <w:rPr>
          <w:b/>
        </w:rPr>
        <w:t xml:space="preserve"> 10.24 s</w:t>
      </w:r>
      <w:r>
        <w:rPr>
          <w:b/>
        </w:rPr>
        <w:t>:</w:t>
      </w:r>
    </w:p>
    <w:p w14:paraId="695BDD32" w14:textId="77777777" w:rsidR="00F77E02" w:rsidRDefault="00F77E02" w:rsidP="00F77E02">
      <w:pPr>
        <w:spacing w:after="0"/>
        <w:ind w:left="720"/>
      </w:pPr>
      <w:r>
        <w:rPr>
          <w:b/>
        </w:rPr>
        <w:t xml:space="preserve">During the CN PTW, </w:t>
      </w:r>
      <w:r w:rsidRPr="00F166D6">
        <w:rPr>
          <w:b/>
        </w:rPr>
        <w:t>T (DRX cycle of the UE) is determined by the shortest of:</w:t>
      </w:r>
    </w:p>
    <w:p w14:paraId="0441C62C" w14:textId="77777777" w:rsidR="00F77E02" w:rsidRPr="00CC15E2" w:rsidRDefault="00F77E02" w:rsidP="00F77E02">
      <w:pPr>
        <w:pStyle w:val="ListParagraph"/>
        <w:numPr>
          <w:ilvl w:val="1"/>
          <w:numId w:val="37"/>
        </w:numPr>
        <w:spacing w:after="0"/>
        <w:rPr>
          <w:b/>
        </w:rPr>
      </w:pPr>
      <w:r w:rsidRPr="00CC15E2">
        <w:rPr>
          <w:b/>
        </w:rPr>
        <w:t>Default DRX value</w:t>
      </w:r>
    </w:p>
    <w:p w14:paraId="6A5C34E3" w14:textId="77777777" w:rsidR="00F77E02" w:rsidRPr="00CC15E2" w:rsidRDefault="00F77E02" w:rsidP="00F77E02">
      <w:pPr>
        <w:pStyle w:val="ListParagraph"/>
        <w:numPr>
          <w:ilvl w:val="1"/>
          <w:numId w:val="37"/>
        </w:numPr>
        <w:spacing w:after="0"/>
        <w:rPr>
          <w:b/>
        </w:rPr>
      </w:pPr>
      <w:r w:rsidRPr="00BD24DC">
        <w:rPr>
          <w:b/>
        </w:rPr>
        <w:t>UE specific DRX value(s), if configured by RRC and/or upper layers</w:t>
      </w:r>
    </w:p>
    <w:p w14:paraId="6E65DD6D" w14:textId="77777777" w:rsidR="00F77E02" w:rsidRDefault="00F77E02" w:rsidP="00F77E02">
      <w:pPr>
        <w:spacing w:after="0"/>
      </w:pPr>
      <w:r>
        <w:rPr>
          <w:b/>
        </w:rPr>
        <w:lastRenderedPageBreak/>
        <w:tab/>
        <w:t>Outside the CN PTW, T</w:t>
      </w:r>
      <w:r w:rsidRPr="00F166D6">
        <w:rPr>
          <w:b/>
        </w:rPr>
        <w:t xml:space="preserve"> is </w:t>
      </w:r>
      <w:r>
        <w:rPr>
          <w:b/>
        </w:rPr>
        <w:t>equal to</w:t>
      </w:r>
      <w:r w:rsidRPr="00F166D6">
        <w:rPr>
          <w:b/>
        </w:rPr>
        <w:t>:</w:t>
      </w:r>
    </w:p>
    <w:p w14:paraId="54EC8D31" w14:textId="77777777" w:rsidR="00F77E02" w:rsidRDefault="00F77E02" w:rsidP="00F77E02">
      <w:pPr>
        <w:pStyle w:val="ListParagraph"/>
        <w:numPr>
          <w:ilvl w:val="1"/>
          <w:numId w:val="42"/>
        </w:numPr>
        <w:spacing w:after="0"/>
        <w:rPr>
          <w:b/>
        </w:rPr>
      </w:pPr>
      <w:r>
        <w:rPr>
          <w:b/>
        </w:rPr>
        <w:t xml:space="preserve">RAN </w:t>
      </w:r>
      <w:r w:rsidRPr="00CC15E2">
        <w:rPr>
          <w:b/>
        </w:rPr>
        <w:t xml:space="preserve">eDRX cycle </w:t>
      </w:r>
    </w:p>
    <w:p w14:paraId="2E488475" w14:textId="77777777" w:rsidR="00F77E02" w:rsidRDefault="00F77E02" w:rsidP="00B166DB">
      <w:pPr>
        <w:rPr>
          <w:b/>
        </w:rPr>
      </w:pPr>
    </w:p>
    <w:p w14:paraId="0BB6B2A2" w14:textId="77777777" w:rsidR="00F77E02" w:rsidRDefault="00F77E02" w:rsidP="00F77E02">
      <w:pPr>
        <w:spacing w:after="0"/>
        <w:rPr>
          <w:b/>
        </w:rPr>
      </w:pPr>
      <w:r w:rsidRPr="00F166D6">
        <w:rPr>
          <w:b/>
        </w:rPr>
        <w:t>Proposal</w:t>
      </w:r>
      <w:r>
        <w:rPr>
          <w:b/>
        </w:rPr>
        <w:t xml:space="preserve"> 8</w:t>
      </w:r>
      <w:r w:rsidRPr="00F166D6">
        <w:rPr>
          <w:b/>
        </w:rPr>
        <w:t xml:space="preserve">: </w:t>
      </w:r>
      <w:r>
        <w:rPr>
          <w:b/>
        </w:rPr>
        <w:t>In</w:t>
      </w:r>
      <w:r w:rsidRPr="00F166D6">
        <w:rPr>
          <w:b/>
        </w:rPr>
        <w:t xml:space="preserve"> RRC_INACTIVE</w:t>
      </w:r>
      <w:r>
        <w:rPr>
          <w:b/>
        </w:rPr>
        <w:t xml:space="preserve"> mode, if both</w:t>
      </w:r>
      <w:r w:rsidRPr="002D3AA4">
        <w:rPr>
          <w:b/>
        </w:rPr>
        <w:t xml:space="preserve"> </w:t>
      </w:r>
      <w:r>
        <w:rPr>
          <w:b/>
        </w:rPr>
        <w:t xml:space="preserve">CN and RAN </w:t>
      </w:r>
      <w:r w:rsidRPr="002D3AA4">
        <w:rPr>
          <w:b/>
        </w:rPr>
        <w:t>eDRX cycle</w:t>
      </w:r>
      <w:r>
        <w:rPr>
          <w:b/>
        </w:rPr>
        <w:t>s</w:t>
      </w:r>
      <w:r w:rsidRPr="002D3AA4">
        <w:rPr>
          <w:b/>
        </w:rPr>
        <w:t xml:space="preserve"> </w:t>
      </w:r>
      <w:r>
        <w:rPr>
          <w:b/>
        </w:rPr>
        <w:t>are &gt;</w:t>
      </w:r>
      <w:r w:rsidRPr="002D3AA4">
        <w:rPr>
          <w:b/>
        </w:rPr>
        <w:t xml:space="preserve"> 10.24 s</w:t>
      </w:r>
      <w:r>
        <w:rPr>
          <w:b/>
        </w:rPr>
        <w:t>:</w:t>
      </w:r>
    </w:p>
    <w:p w14:paraId="7AEFAFDD" w14:textId="77777777" w:rsidR="00F77E02" w:rsidRPr="00F166D6" w:rsidRDefault="00F77E02" w:rsidP="00F77E02">
      <w:pPr>
        <w:spacing w:after="0"/>
        <w:ind w:left="360"/>
        <w:rPr>
          <w:b/>
        </w:rPr>
      </w:pPr>
      <w:r>
        <w:rPr>
          <w:b/>
        </w:rPr>
        <w:t xml:space="preserve">When the PTWs are </w:t>
      </w:r>
      <w:r w:rsidRPr="00F166D6">
        <w:rPr>
          <w:b/>
        </w:rPr>
        <w:t>overlap</w:t>
      </w:r>
      <w:r>
        <w:rPr>
          <w:b/>
        </w:rPr>
        <w:t>ping</w:t>
      </w:r>
      <w:r w:rsidRPr="00F166D6">
        <w:rPr>
          <w:b/>
        </w:rPr>
        <w:t>, T (DRX cycle of the UE) is determined by the shortest of:</w:t>
      </w:r>
    </w:p>
    <w:p w14:paraId="583AA845" w14:textId="77777777" w:rsidR="00F77E02" w:rsidRDefault="00F77E02" w:rsidP="00F77E02">
      <w:pPr>
        <w:pStyle w:val="ListParagraph"/>
        <w:numPr>
          <w:ilvl w:val="1"/>
          <w:numId w:val="37"/>
        </w:numPr>
        <w:spacing w:after="0"/>
        <w:rPr>
          <w:b/>
        </w:rPr>
      </w:pPr>
      <w:r w:rsidRPr="00F166D6">
        <w:rPr>
          <w:b/>
        </w:rPr>
        <w:t>Default DRX value</w:t>
      </w:r>
    </w:p>
    <w:p w14:paraId="5D5649FD" w14:textId="77777777" w:rsidR="00F77E02" w:rsidRPr="00405AAB" w:rsidRDefault="00F77E02" w:rsidP="00F77E02">
      <w:pPr>
        <w:pStyle w:val="ListParagraph"/>
        <w:numPr>
          <w:ilvl w:val="1"/>
          <w:numId w:val="37"/>
        </w:numPr>
        <w:spacing w:after="0"/>
        <w:rPr>
          <w:b/>
        </w:rPr>
      </w:pPr>
      <w:r w:rsidRPr="00405AAB">
        <w:rPr>
          <w:b/>
        </w:rPr>
        <w:t xml:space="preserve">UE specific DRX value(s), </w:t>
      </w:r>
      <w:bookmarkStart w:id="10" w:name="_GoBack"/>
      <w:r w:rsidRPr="00405AAB">
        <w:rPr>
          <w:b/>
        </w:rPr>
        <w:t>if configured by RRC</w:t>
      </w:r>
      <w:bookmarkEnd w:id="10"/>
      <w:r w:rsidRPr="00405AAB">
        <w:rPr>
          <w:b/>
        </w:rPr>
        <w:t xml:space="preserve"> and/or upper layers</w:t>
      </w:r>
    </w:p>
    <w:p w14:paraId="52615077" w14:textId="77777777" w:rsidR="00F77E02" w:rsidRPr="00F166D6" w:rsidRDefault="00F77E02" w:rsidP="00F77E02">
      <w:pPr>
        <w:spacing w:after="0"/>
        <w:ind w:left="360"/>
        <w:rPr>
          <w:b/>
        </w:rPr>
      </w:pPr>
      <w:r>
        <w:rPr>
          <w:b/>
        </w:rPr>
        <w:t>During CN PTW only, T</w:t>
      </w:r>
      <w:r w:rsidRPr="00F166D6">
        <w:rPr>
          <w:b/>
        </w:rPr>
        <w:t xml:space="preserve"> is determined by the shortest of:</w:t>
      </w:r>
    </w:p>
    <w:p w14:paraId="7A58D219" w14:textId="77777777" w:rsidR="00F77E02" w:rsidRPr="00405AAB" w:rsidRDefault="00F77E02" w:rsidP="00F77E02">
      <w:pPr>
        <w:pStyle w:val="ListParagraph"/>
        <w:numPr>
          <w:ilvl w:val="1"/>
          <w:numId w:val="37"/>
        </w:numPr>
        <w:spacing w:after="0"/>
        <w:rPr>
          <w:b/>
        </w:rPr>
      </w:pPr>
      <w:r w:rsidRPr="00405AAB">
        <w:rPr>
          <w:b/>
        </w:rPr>
        <w:t>Default DRX value</w:t>
      </w:r>
    </w:p>
    <w:p w14:paraId="3C81065D" w14:textId="77777777" w:rsidR="00F77E02" w:rsidRPr="00405AAB" w:rsidRDefault="00F77E02" w:rsidP="00F77E02">
      <w:pPr>
        <w:pStyle w:val="ListParagraph"/>
        <w:numPr>
          <w:ilvl w:val="1"/>
          <w:numId w:val="37"/>
        </w:numPr>
        <w:spacing w:after="0"/>
        <w:rPr>
          <w:b/>
        </w:rPr>
      </w:pPr>
      <w:r w:rsidRPr="00405AAB">
        <w:rPr>
          <w:b/>
        </w:rPr>
        <w:t>UE specific DRX value, if configured by upper layers</w:t>
      </w:r>
    </w:p>
    <w:p w14:paraId="3CDDEC3C" w14:textId="77777777" w:rsidR="00F77E02" w:rsidRDefault="00F77E02" w:rsidP="00F77E02">
      <w:pPr>
        <w:spacing w:after="0"/>
        <w:ind w:left="360"/>
        <w:rPr>
          <w:b/>
        </w:rPr>
      </w:pPr>
      <w:r>
        <w:rPr>
          <w:b/>
        </w:rPr>
        <w:t>During RAN PTW only, T</w:t>
      </w:r>
      <w:r w:rsidRPr="00F166D6">
        <w:rPr>
          <w:b/>
        </w:rPr>
        <w:t xml:space="preserve"> is </w:t>
      </w:r>
      <w:r>
        <w:rPr>
          <w:b/>
        </w:rPr>
        <w:t>equal to:</w:t>
      </w:r>
    </w:p>
    <w:p w14:paraId="28BC9A75" w14:textId="77777777" w:rsidR="00F77E02" w:rsidRPr="00405AAB" w:rsidRDefault="00F77E02" w:rsidP="00F77E02">
      <w:pPr>
        <w:pStyle w:val="ListParagraph"/>
        <w:numPr>
          <w:ilvl w:val="1"/>
          <w:numId w:val="38"/>
        </w:numPr>
        <w:spacing w:after="0"/>
        <w:rPr>
          <w:b/>
        </w:rPr>
      </w:pPr>
      <w:r>
        <w:rPr>
          <w:b/>
        </w:rPr>
        <w:t xml:space="preserve">UE specific DRX value </w:t>
      </w:r>
      <w:r w:rsidRPr="00405AAB">
        <w:rPr>
          <w:b/>
        </w:rPr>
        <w:t>configured by RRC</w:t>
      </w:r>
    </w:p>
    <w:p w14:paraId="5F059359" w14:textId="77777777" w:rsidR="00F77E02" w:rsidRDefault="00F77E02" w:rsidP="00B166DB">
      <w:pPr>
        <w:rPr>
          <w:b/>
        </w:rPr>
      </w:pPr>
    </w:p>
    <w:p w14:paraId="138872E8" w14:textId="77777777" w:rsidR="00F77E02" w:rsidRDefault="00F77E02" w:rsidP="00F77E02">
      <w:pPr>
        <w:rPr>
          <w:b/>
        </w:rPr>
      </w:pPr>
      <w:r w:rsidRPr="000A79DF">
        <w:rPr>
          <w:b/>
        </w:rPr>
        <w:t>Proposal</w:t>
      </w:r>
      <w:r>
        <w:rPr>
          <w:b/>
        </w:rPr>
        <w:t xml:space="preserve"> 9</w:t>
      </w:r>
      <w:r w:rsidRPr="000A79DF">
        <w:rPr>
          <w:b/>
        </w:rPr>
        <w:t xml:space="preserve">: The minimum and maximum PTW length </w:t>
      </w:r>
      <w:r>
        <w:rPr>
          <w:b/>
        </w:rPr>
        <w:t xml:space="preserve">values </w:t>
      </w:r>
      <w:r w:rsidRPr="000A79DF">
        <w:rPr>
          <w:b/>
        </w:rPr>
        <w:t xml:space="preserve">in RedCap </w:t>
      </w:r>
      <w:r>
        <w:rPr>
          <w:b/>
        </w:rPr>
        <w:t>are</w:t>
      </w:r>
      <w:r w:rsidRPr="000A79DF">
        <w:rPr>
          <w:b/>
        </w:rPr>
        <w:t xml:space="preserve"> 1.28 s and 40.96 s respectively. </w:t>
      </w:r>
      <w:r>
        <w:rPr>
          <w:b/>
        </w:rPr>
        <w:t>Other</w:t>
      </w:r>
      <w:r w:rsidRPr="000A79DF">
        <w:rPr>
          <w:b/>
        </w:rPr>
        <w:t xml:space="preserve"> values within this range are FFS.</w:t>
      </w:r>
    </w:p>
    <w:p w14:paraId="2ABBFA5A" w14:textId="77777777" w:rsidR="00F77E02" w:rsidRDefault="00F77E02" w:rsidP="00F77E02">
      <w:pPr>
        <w:rPr>
          <w:b/>
        </w:rPr>
      </w:pPr>
      <w:r>
        <w:rPr>
          <w:b/>
        </w:rPr>
        <w:t>Proposal 10: The H</w:t>
      </w:r>
      <w:r w:rsidRPr="0089195E">
        <w:rPr>
          <w:b/>
        </w:rPr>
        <w:t xml:space="preserve">ashed UE ID </w:t>
      </w:r>
      <w:r>
        <w:rPr>
          <w:b/>
        </w:rPr>
        <w:t xml:space="preserve">calculation </w:t>
      </w:r>
      <w:r w:rsidRPr="0089195E">
        <w:rPr>
          <w:b/>
        </w:rPr>
        <w:t xml:space="preserve">from LTE </w:t>
      </w:r>
      <w:r>
        <w:rPr>
          <w:b/>
        </w:rPr>
        <w:t>(TS 36.304) is re-used in</w:t>
      </w:r>
      <w:r w:rsidRPr="0089195E">
        <w:rPr>
          <w:b/>
        </w:rPr>
        <w:t xml:space="preserve"> eDRX </w:t>
      </w:r>
      <w:r>
        <w:rPr>
          <w:b/>
        </w:rPr>
        <w:t>calculations</w:t>
      </w:r>
      <w:r w:rsidRPr="0089195E">
        <w:rPr>
          <w:b/>
        </w:rPr>
        <w:t>.</w:t>
      </w:r>
    </w:p>
    <w:p w14:paraId="697E75F1" w14:textId="77777777" w:rsidR="00F77E02" w:rsidRDefault="00F77E02" w:rsidP="00F77E02">
      <w:pPr>
        <w:spacing w:after="0"/>
        <w:rPr>
          <w:b/>
        </w:rPr>
      </w:pPr>
      <w:r w:rsidRPr="0003544F">
        <w:rPr>
          <w:b/>
        </w:rPr>
        <w:t>Proposal</w:t>
      </w:r>
      <w:r>
        <w:rPr>
          <w:b/>
        </w:rPr>
        <w:t xml:space="preserve"> 11</w:t>
      </w:r>
      <w:r w:rsidRPr="0003544F">
        <w:rPr>
          <w:b/>
        </w:rPr>
        <w:t xml:space="preserve">: </w:t>
      </w:r>
      <w:r>
        <w:rPr>
          <w:b/>
        </w:rPr>
        <w:t>RAN2 to select from one of the following options regarding the eDRX support in a RedCap cell:</w:t>
      </w:r>
    </w:p>
    <w:p w14:paraId="337F9144" w14:textId="77777777" w:rsidR="00F77E02" w:rsidRPr="00DC7B11" w:rsidRDefault="00F77E02" w:rsidP="00F77E02">
      <w:pPr>
        <w:pStyle w:val="ListParagraph"/>
        <w:numPr>
          <w:ilvl w:val="0"/>
          <w:numId w:val="44"/>
        </w:numPr>
        <w:spacing w:after="0"/>
        <w:rPr>
          <w:b/>
        </w:rPr>
      </w:pPr>
      <w:r w:rsidRPr="00DC7B11">
        <w:rPr>
          <w:b/>
        </w:rPr>
        <w:t>Not all RedCap cells support eDRX operation and if supported it is indicated by a flag (e.g. eDRX-Allowed) in SIB1. When the UE moves to a cell that does not support eDRX, it stops the eDRX operation.</w:t>
      </w:r>
    </w:p>
    <w:p w14:paraId="3FF4BB10" w14:textId="77777777" w:rsidR="00F77E02" w:rsidRPr="00DC7B11" w:rsidRDefault="00F77E02" w:rsidP="00F77E02">
      <w:pPr>
        <w:pStyle w:val="ListParagraph"/>
        <w:numPr>
          <w:ilvl w:val="0"/>
          <w:numId w:val="44"/>
        </w:numPr>
        <w:spacing w:after="0"/>
        <w:rPr>
          <w:b/>
        </w:rPr>
      </w:pPr>
      <w:r>
        <w:rPr>
          <w:b/>
        </w:rPr>
        <w:t>All RedCap cells support eDRX operation (eDRX allowed flag is not needed in system information).</w:t>
      </w:r>
    </w:p>
    <w:p w14:paraId="1A5360D6" w14:textId="77777777" w:rsidR="00F77E02" w:rsidRPr="00AC7D8C" w:rsidRDefault="00F77E02" w:rsidP="00B166DB">
      <w:pPr>
        <w:rPr>
          <w:b/>
        </w:rPr>
      </w:pPr>
    </w:p>
    <w:p w14:paraId="4E445F4D" w14:textId="24808BCC" w:rsidR="00DF68E7" w:rsidRPr="00D46A4D" w:rsidRDefault="00663380" w:rsidP="00161FA7">
      <w:pPr>
        <w:pStyle w:val="Heading1"/>
      </w:pPr>
      <w:r>
        <w:t>4</w:t>
      </w:r>
      <w:r w:rsidR="00DF68E7" w:rsidRPr="00D46A4D">
        <w:t xml:space="preserve"> </w:t>
      </w:r>
      <w:r w:rsidR="00DF68E7" w:rsidRPr="00161FA7">
        <w:t>References</w:t>
      </w:r>
    </w:p>
    <w:p w14:paraId="2D5F570B" w14:textId="5E148E63" w:rsidR="0031708C" w:rsidRDefault="007E75DA" w:rsidP="007E75DA">
      <w:pPr>
        <w:pStyle w:val="ListParagraph"/>
        <w:numPr>
          <w:ilvl w:val="0"/>
          <w:numId w:val="1"/>
        </w:numPr>
        <w:overflowPunct/>
        <w:autoSpaceDE/>
        <w:autoSpaceDN/>
        <w:adjustRightInd/>
        <w:spacing w:after="60"/>
        <w:contextualSpacing w:val="0"/>
        <w:textAlignment w:val="auto"/>
      </w:pPr>
      <w:bookmarkStart w:id="11" w:name="_Ref77343648"/>
      <w:bookmarkStart w:id="12" w:name="_Ref68009589"/>
      <w:bookmarkStart w:id="13" w:name="_Ref53496525"/>
      <w:r w:rsidRPr="007E75DA">
        <w:t>R2-2106641 Report of 3GPP TSG RAN WG2 meeting #113bis-e</w:t>
      </w:r>
      <w:bookmarkEnd w:id="11"/>
    </w:p>
    <w:p w14:paraId="55A75BE8" w14:textId="32CFA701" w:rsidR="007E75DA" w:rsidRDefault="007E75DA" w:rsidP="007E75DA">
      <w:pPr>
        <w:pStyle w:val="ListParagraph"/>
        <w:numPr>
          <w:ilvl w:val="0"/>
          <w:numId w:val="1"/>
        </w:numPr>
        <w:overflowPunct/>
        <w:autoSpaceDE/>
        <w:autoSpaceDN/>
        <w:adjustRightInd/>
        <w:spacing w:after="60"/>
        <w:contextualSpacing w:val="0"/>
        <w:textAlignment w:val="auto"/>
      </w:pPr>
      <w:bookmarkStart w:id="14" w:name="_Ref77343650"/>
      <w:r w:rsidRPr="007E75DA">
        <w:t>Draft_R2-114-e_Meeting_Report_v1</w:t>
      </w:r>
      <w:bookmarkEnd w:id="14"/>
    </w:p>
    <w:p w14:paraId="49D8481B" w14:textId="77777777" w:rsidR="0031708C" w:rsidRDefault="00DD1119" w:rsidP="0031708C">
      <w:pPr>
        <w:pStyle w:val="ListParagraph"/>
        <w:numPr>
          <w:ilvl w:val="0"/>
          <w:numId w:val="1"/>
        </w:numPr>
        <w:overflowPunct/>
        <w:autoSpaceDE/>
        <w:autoSpaceDN/>
        <w:adjustRightInd/>
        <w:spacing w:after="60"/>
        <w:contextualSpacing w:val="0"/>
        <w:textAlignment w:val="auto"/>
      </w:pPr>
      <w:bookmarkStart w:id="15" w:name="_Ref71031652"/>
      <w:r>
        <w:t xml:space="preserve">TR 38.875 - </w:t>
      </w:r>
      <w:r w:rsidRPr="00DD1119">
        <w:t>Study on support of reduced capability NR devices</w:t>
      </w:r>
      <w:bookmarkStart w:id="16" w:name="_Ref68008061"/>
      <w:bookmarkEnd w:id="12"/>
      <w:bookmarkEnd w:id="15"/>
    </w:p>
    <w:p w14:paraId="0AE61872" w14:textId="09530196" w:rsidR="00F442B3" w:rsidRDefault="00A97BE5" w:rsidP="0031708C">
      <w:pPr>
        <w:pStyle w:val="ListParagraph"/>
        <w:numPr>
          <w:ilvl w:val="0"/>
          <w:numId w:val="1"/>
        </w:numPr>
        <w:overflowPunct/>
        <w:autoSpaceDE/>
        <w:autoSpaceDN/>
        <w:adjustRightInd/>
        <w:spacing w:after="60"/>
        <w:contextualSpacing w:val="0"/>
        <w:textAlignment w:val="auto"/>
      </w:pPr>
      <w:bookmarkStart w:id="17" w:name="_Ref71031660"/>
      <w:r>
        <w:t xml:space="preserve">TS 36.304 </w:t>
      </w:r>
      <w:r w:rsidRPr="00244A78">
        <w:t>User Equipment (UE) procedures in idle mode</w:t>
      </w:r>
      <w:bookmarkEnd w:id="13"/>
      <w:bookmarkEnd w:id="16"/>
      <w:bookmarkEnd w:id="17"/>
    </w:p>
    <w:p w14:paraId="56801C11" w14:textId="77777777" w:rsidR="00F442B3" w:rsidRDefault="00F442B3" w:rsidP="00F442B3">
      <w:pPr>
        <w:overflowPunct/>
        <w:autoSpaceDE/>
        <w:autoSpaceDN/>
        <w:adjustRightInd/>
        <w:spacing w:after="60"/>
        <w:textAlignment w:val="auto"/>
      </w:pPr>
    </w:p>
    <w:sectPr w:rsidR="00F442B3"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E684D" w14:textId="77777777" w:rsidR="003227A2" w:rsidRDefault="003227A2" w:rsidP="00BD754F">
      <w:pPr>
        <w:spacing w:after="0"/>
      </w:pPr>
      <w:r>
        <w:separator/>
      </w:r>
    </w:p>
  </w:endnote>
  <w:endnote w:type="continuationSeparator" w:id="0">
    <w:p w14:paraId="5A444631" w14:textId="77777777" w:rsidR="003227A2" w:rsidRDefault="003227A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D539B" w14:textId="77777777" w:rsidR="003227A2" w:rsidRDefault="003227A2" w:rsidP="00BD754F">
      <w:pPr>
        <w:spacing w:after="0"/>
      </w:pPr>
      <w:r>
        <w:separator/>
      </w:r>
    </w:p>
  </w:footnote>
  <w:footnote w:type="continuationSeparator" w:id="0">
    <w:p w14:paraId="30584C8C" w14:textId="77777777" w:rsidR="003227A2" w:rsidRDefault="003227A2"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F84FD3"/>
    <w:multiLevelType w:val="hybridMultilevel"/>
    <w:tmpl w:val="5194F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D549C8"/>
    <w:multiLevelType w:val="hybridMultilevel"/>
    <w:tmpl w:val="74A09CF4"/>
    <w:lvl w:ilvl="0" w:tplc="AD04F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B28FE"/>
    <w:multiLevelType w:val="hybridMultilevel"/>
    <w:tmpl w:val="9B967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1"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3444F6"/>
    <w:multiLevelType w:val="hybridMultilevel"/>
    <w:tmpl w:val="BCDE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C3867"/>
    <w:multiLevelType w:val="hybridMultilevel"/>
    <w:tmpl w:val="1F46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842192B"/>
    <w:multiLevelType w:val="hybridMultilevel"/>
    <w:tmpl w:val="666EFD8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3B76B8"/>
    <w:multiLevelType w:val="hybridMultilevel"/>
    <w:tmpl w:val="AB8EE7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B81F1C"/>
    <w:multiLevelType w:val="hybridMultilevel"/>
    <w:tmpl w:val="F6FEFD92"/>
    <w:lvl w:ilvl="0" w:tplc="E592A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8DF5683"/>
    <w:multiLevelType w:val="hybridMultilevel"/>
    <w:tmpl w:val="F6FEFD92"/>
    <w:lvl w:ilvl="0" w:tplc="E592A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A352A"/>
    <w:multiLevelType w:val="hybridMultilevel"/>
    <w:tmpl w:val="BA3C4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E4D07"/>
    <w:multiLevelType w:val="hybridMultilevel"/>
    <w:tmpl w:val="890C3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E70D9"/>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31" w15:restartNumberingAfterBreak="0">
    <w:nsid w:val="6638464A"/>
    <w:multiLevelType w:val="hybridMultilevel"/>
    <w:tmpl w:val="73A8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A187E"/>
    <w:multiLevelType w:val="hybridMultilevel"/>
    <w:tmpl w:val="CE7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15:restartNumberingAfterBreak="0">
    <w:nsid w:val="70263543"/>
    <w:multiLevelType w:val="hybridMultilevel"/>
    <w:tmpl w:val="33BC1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A7F54"/>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163C6"/>
    <w:multiLevelType w:val="hybridMultilevel"/>
    <w:tmpl w:val="F6FEFD92"/>
    <w:lvl w:ilvl="0" w:tplc="E592A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746AE0"/>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9F7132"/>
    <w:multiLevelType w:val="hybridMultilevel"/>
    <w:tmpl w:val="2360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5"/>
  </w:num>
  <w:num w:numId="3">
    <w:abstractNumId w:val="33"/>
  </w:num>
  <w:num w:numId="4">
    <w:abstractNumId w:val="11"/>
  </w:num>
  <w:num w:numId="5">
    <w:abstractNumId w:val="7"/>
  </w:num>
  <w:num w:numId="6">
    <w:abstractNumId w:val="3"/>
  </w:num>
  <w:num w:numId="7">
    <w:abstractNumId w:val="23"/>
  </w:num>
  <w:num w:numId="8">
    <w:abstractNumId w:val="3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1"/>
  </w:num>
  <w:num w:numId="13">
    <w:abstractNumId w:val="5"/>
  </w:num>
  <w:num w:numId="14">
    <w:abstractNumId w:val="32"/>
  </w:num>
  <w:num w:numId="15">
    <w:abstractNumId w:val="12"/>
  </w:num>
  <w:num w:numId="16">
    <w:abstractNumId w:val="2"/>
  </w:num>
  <w:num w:numId="17">
    <w:abstractNumId w:val="24"/>
  </w:num>
  <w:num w:numId="18">
    <w:abstractNumId w:val="1"/>
  </w:num>
  <w:num w:numId="19">
    <w:abstractNumId w:val="30"/>
  </w:num>
  <w:num w:numId="20">
    <w:abstractNumId w:val="8"/>
  </w:num>
  <w:num w:numId="21">
    <w:abstractNumId w:val="10"/>
  </w:num>
  <w:num w:numId="22">
    <w:abstractNumId w:val="20"/>
  </w:num>
  <w:num w:numId="23">
    <w:abstractNumId w:val="22"/>
  </w:num>
  <w:num w:numId="24">
    <w:abstractNumId w:val="31"/>
  </w:num>
  <w:num w:numId="25">
    <w:abstractNumId w:val="37"/>
  </w:num>
  <w:num w:numId="26">
    <w:abstractNumId w:val="25"/>
  </w:num>
  <w:num w:numId="27">
    <w:abstractNumId w:val="16"/>
  </w:num>
  <w:num w:numId="28">
    <w:abstractNumId w:val="40"/>
  </w:num>
  <w:num w:numId="29">
    <w:abstractNumId w:val="29"/>
  </w:num>
  <w:num w:numId="30">
    <w:abstractNumId w:val="18"/>
  </w:num>
  <w:num w:numId="31">
    <w:abstractNumId w:val="38"/>
  </w:num>
  <w:num w:numId="32">
    <w:abstractNumId w:val="26"/>
  </w:num>
  <w:num w:numId="33">
    <w:abstractNumId w:val="6"/>
  </w:num>
  <w:num w:numId="34">
    <w:abstractNumId w:val="14"/>
  </w:num>
  <w:num w:numId="35">
    <w:abstractNumId w:val="34"/>
  </w:num>
  <w:num w:numId="36">
    <w:abstractNumId w:val="28"/>
  </w:num>
  <w:num w:numId="37">
    <w:abstractNumId w:val="9"/>
  </w:num>
  <w:num w:numId="38">
    <w:abstractNumId w:val="27"/>
  </w:num>
  <w:num w:numId="39">
    <w:abstractNumId w:val="4"/>
  </w:num>
  <w:num w:numId="40">
    <w:abstractNumId w:val="17"/>
  </w:num>
  <w:num w:numId="41">
    <w:abstractNumId w:val="15"/>
  </w:num>
  <w:num w:numId="42">
    <w:abstractNumId w:val="36"/>
  </w:num>
  <w:num w:numId="43">
    <w:abstractNumId w:val="39"/>
  </w:num>
  <w:num w:numId="4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420"/>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1FD4"/>
    <w:rsid w:val="00052D89"/>
    <w:rsid w:val="00053FCB"/>
    <w:rsid w:val="000548E6"/>
    <w:rsid w:val="00055571"/>
    <w:rsid w:val="00056086"/>
    <w:rsid w:val="00056DFB"/>
    <w:rsid w:val="00056F02"/>
    <w:rsid w:val="00057244"/>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DEE"/>
    <w:rsid w:val="00086274"/>
    <w:rsid w:val="000862D0"/>
    <w:rsid w:val="000869FA"/>
    <w:rsid w:val="00087FDA"/>
    <w:rsid w:val="00090C4A"/>
    <w:rsid w:val="00093D21"/>
    <w:rsid w:val="000950C4"/>
    <w:rsid w:val="0009659E"/>
    <w:rsid w:val="0009689E"/>
    <w:rsid w:val="00096D24"/>
    <w:rsid w:val="000A0227"/>
    <w:rsid w:val="000A031E"/>
    <w:rsid w:val="000A0359"/>
    <w:rsid w:val="000A083F"/>
    <w:rsid w:val="000A0C96"/>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6AB"/>
    <w:rsid w:val="000D3AF4"/>
    <w:rsid w:val="000D3BE9"/>
    <w:rsid w:val="000D54B6"/>
    <w:rsid w:val="000D6317"/>
    <w:rsid w:val="000D6428"/>
    <w:rsid w:val="000D7DF6"/>
    <w:rsid w:val="000E3703"/>
    <w:rsid w:val="000E3D54"/>
    <w:rsid w:val="000E42C1"/>
    <w:rsid w:val="000E781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1FA7"/>
    <w:rsid w:val="00162B9B"/>
    <w:rsid w:val="00163F50"/>
    <w:rsid w:val="001642ED"/>
    <w:rsid w:val="00165841"/>
    <w:rsid w:val="00166C94"/>
    <w:rsid w:val="00167541"/>
    <w:rsid w:val="001708D3"/>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519E"/>
    <w:rsid w:val="001868F3"/>
    <w:rsid w:val="00186DF9"/>
    <w:rsid w:val="00190191"/>
    <w:rsid w:val="00190285"/>
    <w:rsid w:val="00192E61"/>
    <w:rsid w:val="00193035"/>
    <w:rsid w:val="001940E9"/>
    <w:rsid w:val="00195F88"/>
    <w:rsid w:val="00196902"/>
    <w:rsid w:val="0019751B"/>
    <w:rsid w:val="00197550"/>
    <w:rsid w:val="001975BE"/>
    <w:rsid w:val="00197633"/>
    <w:rsid w:val="001A04CE"/>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A"/>
    <w:rsid w:val="001B2CE4"/>
    <w:rsid w:val="001B4B48"/>
    <w:rsid w:val="001B4F6C"/>
    <w:rsid w:val="001B5A19"/>
    <w:rsid w:val="001B5BCB"/>
    <w:rsid w:val="001B5E97"/>
    <w:rsid w:val="001B6915"/>
    <w:rsid w:val="001B7430"/>
    <w:rsid w:val="001B7AE9"/>
    <w:rsid w:val="001B7BBD"/>
    <w:rsid w:val="001B7C2C"/>
    <w:rsid w:val="001C0CDC"/>
    <w:rsid w:val="001C175C"/>
    <w:rsid w:val="001C3AFF"/>
    <w:rsid w:val="001C430C"/>
    <w:rsid w:val="001C45FD"/>
    <w:rsid w:val="001C470E"/>
    <w:rsid w:val="001C4A37"/>
    <w:rsid w:val="001C54EE"/>
    <w:rsid w:val="001C7509"/>
    <w:rsid w:val="001C7C1C"/>
    <w:rsid w:val="001D0B20"/>
    <w:rsid w:val="001D0C55"/>
    <w:rsid w:val="001D150C"/>
    <w:rsid w:val="001D1BDF"/>
    <w:rsid w:val="001D1D5E"/>
    <w:rsid w:val="001D28F2"/>
    <w:rsid w:val="001D4429"/>
    <w:rsid w:val="001D5E25"/>
    <w:rsid w:val="001D6831"/>
    <w:rsid w:val="001D701F"/>
    <w:rsid w:val="001D762D"/>
    <w:rsid w:val="001E01B3"/>
    <w:rsid w:val="001E0A09"/>
    <w:rsid w:val="001E1A47"/>
    <w:rsid w:val="001E59E9"/>
    <w:rsid w:val="001E605F"/>
    <w:rsid w:val="001E65A8"/>
    <w:rsid w:val="001E6778"/>
    <w:rsid w:val="001F0640"/>
    <w:rsid w:val="001F19D3"/>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02C"/>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5E1C"/>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4C51"/>
    <w:rsid w:val="002579C0"/>
    <w:rsid w:val="00260466"/>
    <w:rsid w:val="0026099E"/>
    <w:rsid w:val="00264BD1"/>
    <w:rsid w:val="00266B0F"/>
    <w:rsid w:val="00266F38"/>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43A1"/>
    <w:rsid w:val="00284FF3"/>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D03AF"/>
    <w:rsid w:val="002D0BC0"/>
    <w:rsid w:val="002D0C78"/>
    <w:rsid w:val="002D1D0F"/>
    <w:rsid w:val="002D1F98"/>
    <w:rsid w:val="002D2024"/>
    <w:rsid w:val="002D26C1"/>
    <w:rsid w:val="002D2E94"/>
    <w:rsid w:val="002D37FC"/>
    <w:rsid w:val="002D3AA4"/>
    <w:rsid w:val="002D78B3"/>
    <w:rsid w:val="002E093A"/>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1F9B"/>
    <w:rsid w:val="00312695"/>
    <w:rsid w:val="00313281"/>
    <w:rsid w:val="00313337"/>
    <w:rsid w:val="003138D4"/>
    <w:rsid w:val="00313E6C"/>
    <w:rsid w:val="00314CD6"/>
    <w:rsid w:val="00315801"/>
    <w:rsid w:val="0031695B"/>
    <w:rsid w:val="0031708C"/>
    <w:rsid w:val="00317363"/>
    <w:rsid w:val="00320C31"/>
    <w:rsid w:val="003218B9"/>
    <w:rsid w:val="00321FCC"/>
    <w:rsid w:val="003227A2"/>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6D11"/>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2628"/>
    <w:rsid w:val="00382B0D"/>
    <w:rsid w:val="00383C03"/>
    <w:rsid w:val="00383DAD"/>
    <w:rsid w:val="003841AC"/>
    <w:rsid w:val="00392172"/>
    <w:rsid w:val="00392504"/>
    <w:rsid w:val="0039316F"/>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2D80"/>
    <w:rsid w:val="00405AAB"/>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89E"/>
    <w:rsid w:val="00480BB2"/>
    <w:rsid w:val="0048110C"/>
    <w:rsid w:val="004824AC"/>
    <w:rsid w:val="004837BC"/>
    <w:rsid w:val="00483D8F"/>
    <w:rsid w:val="004841FD"/>
    <w:rsid w:val="00484F00"/>
    <w:rsid w:val="004850BC"/>
    <w:rsid w:val="004854D7"/>
    <w:rsid w:val="004866CB"/>
    <w:rsid w:val="00486B79"/>
    <w:rsid w:val="004901E3"/>
    <w:rsid w:val="0049088A"/>
    <w:rsid w:val="00491B9D"/>
    <w:rsid w:val="00491F5D"/>
    <w:rsid w:val="00492ECE"/>
    <w:rsid w:val="0049305F"/>
    <w:rsid w:val="0049329F"/>
    <w:rsid w:val="00494776"/>
    <w:rsid w:val="00496D75"/>
    <w:rsid w:val="004A0D52"/>
    <w:rsid w:val="004A1C70"/>
    <w:rsid w:val="004A1C90"/>
    <w:rsid w:val="004A2ED3"/>
    <w:rsid w:val="004A2F5E"/>
    <w:rsid w:val="004A659A"/>
    <w:rsid w:val="004A714B"/>
    <w:rsid w:val="004A7E57"/>
    <w:rsid w:val="004B0319"/>
    <w:rsid w:val="004B1863"/>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12F"/>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693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20FAB"/>
    <w:rsid w:val="0052116F"/>
    <w:rsid w:val="00522E5C"/>
    <w:rsid w:val="00523021"/>
    <w:rsid w:val="00524C9B"/>
    <w:rsid w:val="00524D77"/>
    <w:rsid w:val="00525494"/>
    <w:rsid w:val="0052673B"/>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47D8B"/>
    <w:rsid w:val="005519B7"/>
    <w:rsid w:val="0055209F"/>
    <w:rsid w:val="00552344"/>
    <w:rsid w:val="00552AD6"/>
    <w:rsid w:val="00553A16"/>
    <w:rsid w:val="00556D68"/>
    <w:rsid w:val="0055718E"/>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012F"/>
    <w:rsid w:val="005B0646"/>
    <w:rsid w:val="005B1E07"/>
    <w:rsid w:val="005B37D1"/>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3F0A"/>
    <w:rsid w:val="006241F6"/>
    <w:rsid w:val="00624205"/>
    <w:rsid w:val="00624786"/>
    <w:rsid w:val="00624B5A"/>
    <w:rsid w:val="00625706"/>
    <w:rsid w:val="00625D29"/>
    <w:rsid w:val="00627D1E"/>
    <w:rsid w:val="006306A6"/>
    <w:rsid w:val="006315C4"/>
    <w:rsid w:val="006318F5"/>
    <w:rsid w:val="00633FE9"/>
    <w:rsid w:val="006342B4"/>
    <w:rsid w:val="00634837"/>
    <w:rsid w:val="00637C99"/>
    <w:rsid w:val="006400FB"/>
    <w:rsid w:val="00640906"/>
    <w:rsid w:val="00640A32"/>
    <w:rsid w:val="006415CA"/>
    <w:rsid w:val="00641907"/>
    <w:rsid w:val="00641CD5"/>
    <w:rsid w:val="00643B17"/>
    <w:rsid w:val="00643BF1"/>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D7B"/>
    <w:rsid w:val="00663DCF"/>
    <w:rsid w:val="00664233"/>
    <w:rsid w:val="0066440A"/>
    <w:rsid w:val="00664CF7"/>
    <w:rsid w:val="00665A08"/>
    <w:rsid w:val="00667331"/>
    <w:rsid w:val="00670A02"/>
    <w:rsid w:val="00671243"/>
    <w:rsid w:val="00672349"/>
    <w:rsid w:val="00672781"/>
    <w:rsid w:val="00674853"/>
    <w:rsid w:val="00676241"/>
    <w:rsid w:val="00677BCF"/>
    <w:rsid w:val="0068010C"/>
    <w:rsid w:val="006806B3"/>
    <w:rsid w:val="00681676"/>
    <w:rsid w:val="00681A6A"/>
    <w:rsid w:val="006823B1"/>
    <w:rsid w:val="00684A8A"/>
    <w:rsid w:val="0068501E"/>
    <w:rsid w:val="0068537B"/>
    <w:rsid w:val="00685534"/>
    <w:rsid w:val="00685D70"/>
    <w:rsid w:val="006860BE"/>
    <w:rsid w:val="006867BE"/>
    <w:rsid w:val="006869B4"/>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A7BC1"/>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3E5"/>
    <w:rsid w:val="006D39BD"/>
    <w:rsid w:val="006D426E"/>
    <w:rsid w:val="006D5418"/>
    <w:rsid w:val="006D6106"/>
    <w:rsid w:val="006D6345"/>
    <w:rsid w:val="006E05E6"/>
    <w:rsid w:val="006E2309"/>
    <w:rsid w:val="006E27F5"/>
    <w:rsid w:val="006E30CB"/>
    <w:rsid w:val="006E3DC5"/>
    <w:rsid w:val="006E661B"/>
    <w:rsid w:val="006F144E"/>
    <w:rsid w:val="006F17FA"/>
    <w:rsid w:val="006F3F74"/>
    <w:rsid w:val="006F41BE"/>
    <w:rsid w:val="006F6504"/>
    <w:rsid w:val="006F70C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78AF"/>
    <w:rsid w:val="00710850"/>
    <w:rsid w:val="0071187A"/>
    <w:rsid w:val="00711DC8"/>
    <w:rsid w:val="00712439"/>
    <w:rsid w:val="00712F23"/>
    <w:rsid w:val="00713F89"/>
    <w:rsid w:val="00713FAF"/>
    <w:rsid w:val="00714D05"/>
    <w:rsid w:val="007151A4"/>
    <w:rsid w:val="007153AA"/>
    <w:rsid w:val="007208C0"/>
    <w:rsid w:val="00720DDF"/>
    <w:rsid w:val="00720F62"/>
    <w:rsid w:val="00721B39"/>
    <w:rsid w:val="00722DD6"/>
    <w:rsid w:val="00723122"/>
    <w:rsid w:val="00723E36"/>
    <w:rsid w:val="00724F8D"/>
    <w:rsid w:val="007250D6"/>
    <w:rsid w:val="00725777"/>
    <w:rsid w:val="0072577B"/>
    <w:rsid w:val="00725BE8"/>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5D4"/>
    <w:rsid w:val="00754881"/>
    <w:rsid w:val="00756132"/>
    <w:rsid w:val="00756133"/>
    <w:rsid w:val="00757514"/>
    <w:rsid w:val="00761126"/>
    <w:rsid w:val="007612D6"/>
    <w:rsid w:val="00761502"/>
    <w:rsid w:val="007618D0"/>
    <w:rsid w:val="007618F6"/>
    <w:rsid w:val="007628F4"/>
    <w:rsid w:val="007629A6"/>
    <w:rsid w:val="00763099"/>
    <w:rsid w:val="0076339F"/>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480"/>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B174B"/>
    <w:rsid w:val="007B2D01"/>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2D1"/>
    <w:rsid w:val="007D0412"/>
    <w:rsid w:val="007D253B"/>
    <w:rsid w:val="007D34BC"/>
    <w:rsid w:val="007D426C"/>
    <w:rsid w:val="007D4E0F"/>
    <w:rsid w:val="007D5CC8"/>
    <w:rsid w:val="007D6C8D"/>
    <w:rsid w:val="007D71C1"/>
    <w:rsid w:val="007D723A"/>
    <w:rsid w:val="007E0A5D"/>
    <w:rsid w:val="007E1429"/>
    <w:rsid w:val="007E14F8"/>
    <w:rsid w:val="007E1C48"/>
    <w:rsid w:val="007E1C96"/>
    <w:rsid w:val="007E28B1"/>
    <w:rsid w:val="007E3C0E"/>
    <w:rsid w:val="007E3C70"/>
    <w:rsid w:val="007E4695"/>
    <w:rsid w:val="007E6C5F"/>
    <w:rsid w:val="007E6DA7"/>
    <w:rsid w:val="007E6EE0"/>
    <w:rsid w:val="007E75A6"/>
    <w:rsid w:val="007E75DA"/>
    <w:rsid w:val="007F09B9"/>
    <w:rsid w:val="007F1009"/>
    <w:rsid w:val="007F2AAA"/>
    <w:rsid w:val="007F2EB7"/>
    <w:rsid w:val="007F2EEF"/>
    <w:rsid w:val="007F3C19"/>
    <w:rsid w:val="007F4089"/>
    <w:rsid w:val="007F433E"/>
    <w:rsid w:val="007F4466"/>
    <w:rsid w:val="007F4716"/>
    <w:rsid w:val="007F4B69"/>
    <w:rsid w:val="007F4FCC"/>
    <w:rsid w:val="007F5082"/>
    <w:rsid w:val="007F568E"/>
    <w:rsid w:val="007F7686"/>
    <w:rsid w:val="00801CAA"/>
    <w:rsid w:val="00802A18"/>
    <w:rsid w:val="00802EC4"/>
    <w:rsid w:val="00803733"/>
    <w:rsid w:val="00804A6E"/>
    <w:rsid w:val="00805ACA"/>
    <w:rsid w:val="00805C46"/>
    <w:rsid w:val="008067EB"/>
    <w:rsid w:val="008068AA"/>
    <w:rsid w:val="00806EDC"/>
    <w:rsid w:val="008071DF"/>
    <w:rsid w:val="008107E6"/>
    <w:rsid w:val="008109FA"/>
    <w:rsid w:val="00811490"/>
    <w:rsid w:val="00812C03"/>
    <w:rsid w:val="00813248"/>
    <w:rsid w:val="00813984"/>
    <w:rsid w:val="008140B0"/>
    <w:rsid w:val="00814577"/>
    <w:rsid w:val="008146A3"/>
    <w:rsid w:val="00814C55"/>
    <w:rsid w:val="0081576F"/>
    <w:rsid w:val="00815A39"/>
    <w:rsid w:val="00816062"/>
    <w:rsid w:val="00817344"/>
    <w:rsid w:val="00817FAE"/>
    <w:rsid w:val="00817FB6"/>
    <w:rsid w:val="00820897"/>
    <w:rsid w:val="00821321"/>
    <w:rsid w:val="008239A2"/>
    <w:rsid w:val="00823A79"/>
    <w:rsid w:val="00823AE6"/>
    <w:rsid w:val="00823D46"/>
    <w:rsid w:val="0082712B"/>
    <w:rsid w:val="00827D2A"/>
    <w:rsid w:val="00827E48"/>
    <w:rsid w:val="0083044F"/>
    <w:rsid w:val="00830F98"/>
    <w:rsid w:val="0083160B"/>
    <w:rsid w:val="00831AEC"/>
    <w:rsid w:val="00832042"/>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094"/>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66BC9"/>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7D"/>
    <w:rsid w:val="008A19FC"/>
    <w:rsid w:val="008A1D06"/>
    <w:rsid w:val="008A1FFD"/>
    <w:rsid w:val="008A2DC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29F"/>
    <w:rsid w:val="008D5D41"/>
    <w:rsid w:val="008D6511"/>
    <w:rsid w:val="008D6EF5"/>
    <w:rsid w:val="008E0D03"/>
    <w:rsid w:val="008E0EC1"/>
    <w:rsid w:val="008E1F16"/>
    <w:rsid w:val="008E218C"/>
    <w:rsid w:val="008E237A"/>
    <w:rsid w:val="008E2F1F"/>
    <w:rsid w:val="008E3858"/>
    <w:rsid w:val="008E41B8"/>
    <w:rsid w:val="008E4D5F"/>
    <w:rsid w:val="008F027A"/>
    <w:rsid w:val="008F07CD"/>
    <w:rsid w:val="008F16CE"/>
    <w:rsid w:val="008F251D"/>
    <w:rsid w:val="008F2C8D"/>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20565"/>
    <w:rsid w:val="009208CD"/>
    <w:rsid w:val="00920FE4"/>
    <w:rsid w:val="00921211"/>
    <w:rsid w:val="00921B4A"/>
    <w:rsid w:val="00922C2B"/>
    <w:rsid w:val="00923245"/>
    <w:rsid w:val="009245DB"/>
    <w:rsid w:val="00926946"/>
    <w:rsid w:val="009271A8"/>
    <w:rsid w:val="00931FF0"/>
    <w:rsid w:val="00935518"/>
    <w:rsid w:val="00935881"/>
    <w:rsid w:val="00935BE0"/>
    <w:rsid w:val="00936675"/>
    <w:rsid w:val="009375D8"/>
    <w:rsid w:val="009375F2"/>
    <w:rsid w:val="00937AF2"/>
    <w:rsid w:val="00937C4C"/>
    <w:rsid w:val="00940959"/>
    <w:rsid w:val="00940BAC"/>
    <w:rsid w:val="00941315"/>
    <w:rsid w:val="009427F6"/>
    <w:rsid w:val="00942DA5"/>
    <w:rsid w:val="009434F0"/>
    <w:rsid w:val="009458BD"/>
    <w:rsid w:val="00946E44"/>
    <w:rsid w:val="0094700E"/>
    <w:rsid w:val="00950E07"/>
    <w:rsid w:val="0095102B"/>
    <w:rsid w:val="009510F5"/>
    <w:rsid w:val="009517C0"/>
    <w:rsid w:val="00951E4D"/>
    <w:rsid w:val="0095321D"/>
    <w:rsid w:val="00953F5C"/>
    <w:rsid w:val="0095664D"/>
    <w:rsid w:val="00956BA5"/>
    <w:rsid w:val="00957D25"/>
    <w:rsid w:val="009600F2"/>
    <w:rsid w:val="00960582"/>
    <w:rsid w:val="00962AC9"/>
    <w:rsid w:val="00963065"/>
    <w:rsid w:val="009634E3"/>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9013F"/>
    <w:rsid w:val="0099087D"/>
    <w:rsid w:val="009926BD"/>
    <w:rsid w:val="0099295A"/>
    <w:rsid w:val="00993ADA"/>
    <w:rsid w:val="00994315"/>
    <w:rsid w:val="00994B4F"/>
    <w:rsid w:val="009A0D5E"/>
    <w:rsid w:val="009A11D1"/>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39B1"/>
    <w:rsid w:val="009E7425"/>
    <w:rsid w:val="009E75E2"/>
    <w:rsid w:val="009F0E69"/>
    <w:rsid w:val="009F2130"/>
    <w:rsid w:val="009F27CE"/>
    <w:rsid w:val="009F2F11"/>
    <w:rsid w:val="009F40A3"/>
    <w:rsid w:val="009F46EA"/>
    <w:rsid w:val="009F66DC"/>
    <w:rsid w:val="009F6B57"/>
    <w:rsid w:val="009F7FBE"/>
    <w:rsid w:val="00A005C5"/>
    <w:rsid w:val="00A020E5"/>
    <w:rsid w:val="00A03FB3"/>
    <w:rsid w:val="00A134E4"/>
    <w:rsid w:val="00A13A29"/>
    <w:rsid w:val="00A143A6"/>
    <w:rsid w:val="00A203DA"/>
    <w:rsid w:val="00A210B4"/>
    <w:rsid w:val="00A21F35"/>
    <w:rsid w:val="00A22338"/>
    <w:rsid w:val="00A2283B"/>
    <w:rsid w:val="00A249F4"/>
    <w:rsid w:val="00A24B3F"/>
    <w:rsid w:val="00A25F64"/>
    <w:rsid w:val="00A27337"/>
    <w:rsid w:val="00A276B6"/>
    <w:rsid w:val="00A306C3"/>
    <w:rsid w:val="00A30DFB"/>
    <w:rsid w:val="00A3241D"/>
    <w:rsid w:val="00A3383B"/>
    <w:rsid w:val="00A3446A"/>
    <w:rsid w:val="00A3532F"/>
    <w:rsid w:val="00A365A0"/>
    <w:rsid w:val="00A3732B"/>
    <w:rsid w:val="00A37CC7"/>
    <w:rsid w:val="00A37F95"/>
    <w:rsid w:val="00A40BA1"/>
    <w:rsid w:val="00A42311"/>
    <w:rsid w:val="00A439AF"/>
    <w:rsid w:val="00A453DB"/>
    <w:rsid w:val="00A479CC"/>
    <w:rsid w:val="00A47B9E"/>
    <w:rsid w:val="00A5017D"/>
    <w:rsid w:val="00A50854"/>
    <w:rsid w:val="00A5104D"/>
    <w:rsid w:val="00A51FD4"/>
    <w:rsid w:val="00A528E6"/>
    <w:rsid w:val="00A54356"/>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3CEB"/>
    <w:rsid w:val="00A84AD9"/>
    <w:rsid w:val="00A85329"/>
    <w:rsid w:val="00A8620E"/>
    <w:rsid w:val="00A86671"/>
    <w:rsid w:val="00A8676B"/>
    <w:rsid w:val="00A869D8"/>
    <w:rsid w:val="00A92751"/>
    <w:rsid w:val="00A929FF"/>
    <w:rsid w:val="00A92BA0"/>
    <w:rsid w:val="00A933C0"/>
    <w:rsid w:val="00A97BE5"/>
    <w:rsid w:val="00AA0538"/>
    <w:rsid w:val="00AA1D74"/>
    <w:rsid w:val="00AA1E31"/>
    <w:rsid w:val="00AA2007"/>
    <w:rsid w:val="00AA4223"/>
    <w:rsid w:val="00AA4DBB"/>
    <w:rsid w:val="00AA5C16"/>
    <w:rsid w:val="00AA6BDF"/>
    <w:rsid w:val="00AA7703"/>
    <w:rsid w:val="00AB021D"/>
    <w:rsid w:val="00AB2272"/>
    <w:rsid w:val="00AB2411"/>
    <w:rsid w:val="00AB2D57"/>
    <w:rsid w:val="00AB2FF0"/>
    <w:rsid w:val="00AB3413"/>
    <w:rsid w:val="00AB5AEF"/>
    <w:rsid w:val="00AB61F2"/>
    <w:rsid w:val="00AB6E85"/>
    <w:rsid w:val="00AC0B22"/>
    <w:rsid w:val="00AC1BC1"/>
    <w:rsid w:val="00AC376F"/>
    <w:rsid w:val="00AC3BD8"/>
    <w:rsid w:val="00AC4AAF"/>
    <w:rsid w:val="00AC4BA5"/>
    <w:rsid w:val="00AC6B85"/>
    <w:rsid w:val="00AC7D8C"/>
    <w:rsid w:val="00AD083C"/>
    <w:rsid w:val="00AD0A14"/>
    <w:rsid w:val="00AD0CCD"/>
    <w:rsid w:val="00AD12DA"/>
    <w:rsid w:val="00AD26B1"/>
    <w:rsid w:val="00AD2C55"/>
    <w:rsid w:val="00AD44D3"/>
    <w:rsid w:val="00AD5613"/>
    <w:rsid w:val="00AD623E"/>
    <w:rsid w:val="00AD6490"/>
    <w:rsid w:val="00AD66A1"/>
    <w:rsid w:val="00AD6E12"/>
    <w:rsid w:val="00AE083A"/>
    <w:rsid w:val="00AE1589"/>
    <w:rsid w:val="00AE1B2C"/>
    <w:rsid w:val="00AE28A0"/>
    <w:rsid w:val="00AE3520"/>
    <w:rsid w:val="00AE4ABE"/>
    <w:rsid w:val="00AE57D5"/>
    <w:rsid w:val="00AE5B3A"/>
    <w:rsid w:val="00AE68A3"/>
    <w:rsid w:val="00AE68B4"/>
    <w:rsid w:val="00AE69FE"/>
    <w:rsid w:val="00AF0563"/>
    <w:rsid w:val="00AF05FD"/>
    <w:rsid w:val="00AF1407"/>
    <w:rsid w:val="00AF1D4E"/>
    <w:rsid w:val="00AF24E2"/>
    <w:rsid w:val="00AF44A4"/>
    <w:rsid w:val="00AF4C45"/>
    <w:rsid w:val="00AF5DB9"/>
    <w:rsid w:val="00B00AC9"/>
    <w:rsid w:val="00B00B3D"/>
    <w:rsid w:val="00B019D1"/>
    <w:rsid w:val="00B0358A"/>
    <w:rsid w:val="00B03D83"/>
    <w:rsid w:val="00B04391"/>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BB7"/>
    <w:rsid w:val="00B2238C"/>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12B2"/>
    <w:rsid w:val="00B52211"/>
    <w:rsid w:val="00B52229"/>
    <w:rsid w:val="00B5336A"/>
    <w:rsid w:val="00B53BAC"/>
    <w:rsid w:val="00B5537F"/>
    <w:rsid w:val="00B55AED"/>
    <w:rsid w:val="00B55F52"/>
    <w:rsid w:val="00B57341"/>
    <w:rsid w:val="00B57ED2"/>
    <w:rsid w:val="00B60229"/>
    <w:rsid w:val="00B6074B"/>
    <w:rsid w:val="00B60DFB"/>
    <w:rsid w:val="00B60E3B"/>
    <w:rsid w:val="00B6200F"/>
    <w:rsid w:val="00B63477"/>
    <w:rsid w:val="00B63AA2"/>
    <w:rsid w:val="00B64BF4"/>
    <w:rsid w:val="00B65FFF"/>
    <w:rsid w:val="00B66EDA"/>
    <w:rsid w:val="00B6754C"/>
    <w:rsid w:val="00B70B36"/>
    <w:rsid w:val="00B70E57"/>
    <w:rsid w:val="00B71623"/>
    <w:rsid w:val="00B71763"/>
    <w:rsid w:val="00B7225B"/>
    <w:rsid w:val="00B72336"/>
    <w:rsid w:val="00B7274A"/>
    <w:rsid w:val="00B73696"/>
    <w:rsid w:val="00B73A7B"/>
    <w:rsid w:val="00B73D42"/>
    <w:rsid w:val="00B755C7"/>
    <w:rsid w:val="00B75BE1"/>
    <w:rsid w:val="00B768B2"/>
    <w:rsid w:val="00B7756D"/>
    <w:rsid w:val="00B80954"/>
    <w:rsid w:val="00B8114D"/>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24DC"/>
    <w:rsid w:val="00BD47DB"/>
    <w:rsid w:val="00BD5D21"/>
    <w:rsid w:val="00BD6D69"/>
    <w:rsid w:val="00BD754F"/>
    <w:rsid w:val="00BE175A"/>
    <w:rsid w:val="00BE3E41"/>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A95"/>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5578"/>
    <w:rsid w:val="00C1594E"/>
    <w:rsid w:val="00C1621B"/>
    <w:rsid w:val="00C16757"/>
    <w:rsid w:val="00C16822"/>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2CFB"/>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62C8"/>
    <w:rsid w:val="00C6646F"/>
    <w:rsid w:val="00C66C94"/>
    <w:rsid w:val="00C70923"/>
    <w:rsid w:val="00C70A8F"/>
    <w:rsid w:val="00C710C5"/>
    <w:rsid w:val="00C7185D"/>
    <w:rsid w:val="00C720B8"/>
    <w:rsid w:val="00C73EB4"/>
    <w:rsid w:val="00C7403D"/>
    <w:rsid w:val="00C74D92"/>
    <w:rsid w:val="00C75EB7"/>
    <w:rsid w:val="00C764EE"/>
    <w:rsid w:val="00C76AB9"/>
    <w:rsid w:val="00C76DE1"/>
    <w:rsid w:val="00C80F50"/>
    <w:rsid w:val="00C832A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38B8"/>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15E2"/>
    <w:rsid w:val="00CC4E64"/>
    <w:rsid w:val="00CC5F45"/>
    <w:rsid w:val="00CC772D"/>
    <w:rsid w:val="00CD170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37F5"/>
    <w:rsid w:val="00D25168"/>
    <w:rsid w:val="00D2529F"/>
    <w:rsid w:val="00D25729"/>
    <w:rsid w:val="00D264E0"/>
    <w:rsid w:val="00D2693D"/>
    <w:rsid w:val="00D311D8"/>
    <w:rsid w:val="00D314D1"/>
    <w:rsid w:val="00D31E3B"/>
    <w:rsid w:val="00D3239A"/>
    <w:rsid w:val="00D34F5D"/>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161"/>
    <w:rsid w:val="00D50398"/>
    <w:rsid w:val="00D50E5D"/>
    <w:rsid w:val="00D52E10"/>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1E7"/>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4F14"/>
    <w:rsid w:val="00DC520D"/>
    <w:rsid w:val="00DC5210"/>
    <w:rsid w:val="00DC56A7"/>
    <w:rsid w:val="00DC5730"/>
    <w:rsid w:val="00DC6F00"/>
    <w:rsid w:val="00DC7087"/>
    <w:rsid w:val="00DC79EE"/>
    <w:rsid w:val="00DC7B11"/>
    <w:rsid w:val="00DC7EF5"/>
    <w:rsid w:val="00DD03C4"/>
    <w:rsid w:val="00DD1119"/>
    <w:rsid w:val="00DD141E"/>
    <w:rsid w:val="00DD1C15"/>
    <w:rsid w:val="00DD696A"/>
    <w:rsid w:val="00DD6FCF"/>
    <w:rsid w:val="00DD73CB"/>
    <w:rsid w:val="00DE06D8"/>
    <w:rsid w:val="00DE1181"/>
    <w:rsid w:val="00DE3DF3"/>
    <w:rsid w:val="00DE3F47"/>
    <w:rsid w:val="00DE4EE8"/>
    <w:rsid w:val="00DE544B"/>
    <w:rsid w:val="00DE55E5"/>
    <w:rsid w:val="00DE57A2"/>
    <w:rsid w:val="00DE5F3B"/>
    <w:rsid w:val="00DE60B2"/>
    <w:rsid w:val="00DF0232"/>
    <w:rsid w:val="00DF1FD3"/>
    <w:rsid w:val="00DF27EC"/>
    <w:rsid w:val="00DF4E3F"/>
    <w:rsid w:val="00DF5296"/>
    <w:rsid w:val="00DF68E7"/>
    <w:rsid w:val="00DF753E"/>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0B8E"/>
    <w:rsid w:val="00E31A46"/>
    <w:rsid w:val="00E324DA"/>
    <w:rsid w:val="00E36659"/>
    <w:rsid w:val="00E3698C"/>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BBD"/>
    <w:rsid w:val="00E96CCE"/>
    <w:rsid w:val="00E96E60"/>
    <w:rsid w:val="00EA1D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4572"/>
    <w:rsid w:val="00EB6537"/>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D1273"/>
    <w:rsid w:val="00ED19CB"/>
    <w:rsid w:val="00ED1AB1"/>
    <w:rsid w:val="00ED22E7"/>
    <w:rsid w:val="00ED3847"/>
    <w:rsid w:val="00ED3C75"/>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C51"/>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682"/>
    <w:rsid w:val="00F166D6"/>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77E02"/>
    <w:rsid w:val="00F811D7"/>
    <w:rsid w:val="00F814E0"/>
    <w:rsid w:val="00F82560"/>
    <w:rsid w:val="00F82D33"/>
    <w:rsid w:val="00F8455B"/>
    <w:rsid w:val="00F85E44"/>
    <w:rsid w:val="00F8634F"/>
    <w:rsid w:val="00F8665F"/>
    <w:rsid w:val="00F9019F"/>
    <w:rsid w:val="00F927C2"/>
    <w:rsid w:val="00F92E64"/>
    <w:rsid w:val="00F932D1"/>
    <w:rsid w:val="00F939E1"/>
    <w:rsid w:val="00F94196"/>
    <w:rsid w:val="00F95324"/>
    <w:rsid w:val="00F95822"/>
    <w:rsid w:val="00F970BB"/>
    <w:rsid w:val="00F973FA"/>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1E61"/>
    <w:rsid w:val="00FC2060"/>
    <w:rsid w:val="00FC368F"/>
    <w:rsid w:val="00FC3A74"/>
    <w:rsid w:val="00FC3C72"/>
    <w:rsid w:val="00FC3E82"/>
    <w:rsid w:val="00FC5038"/>
    <w:rsid w:val="00FC69A7"/>
    <w:rsid w:val="00FC7E2B"/>
    <w:rsid w:val="00FD08FF"/>
    <w:rsid w:val="00FD1998"/>
    <w:rsid w:val="00FD1DAC"/>
    <w:rsid w:val="00FD2284"/>
    <w:rsid w:val="00FD2605"/>
    <w:rsid w:val="00FD2B67"/>
    <w:rsid w:val="00FD2EE1"/>
    <w:rsid w:val="00FD30CB"/>
    <w:rsid w:val="00FD3B44"/>
    <w:rsid w:val="00FD3F6A"/>
    <w:rsid w:val="00FD401D"/>
    <w:rsid w:val="00FD40CD"/>
    <w:rsid w:val="00FD43FD"/>
    <w:rsid w:val="00FD4CA9"/>
    <w:rsid w:val="00FD4F98"/>
    <w:rsid w:val="00FD75F1"/>
    <w:rsid w:val="00FD76A0"/>
    <w:rsid w:val="00FE0499"/>
    <w:rsid w:val="00FE0559"/>
    <w:rsid w:val="00FE2806"/>
    <w:rsid w:val="00FE28BD"/>
    <w:rsid w:val="00FE29D3"/>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6FE1"/>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3082</Words>
  <Characters>17570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2021-08-05T15:46:00Z</dcterms:modified>
</cp:coreProperties>
</file>